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F430C4" w:rsidP="00F430C4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430C4" w:rsidRDefault="00F430C4" w:rsidP="00F430C4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F430C4" w:rsidRDefault="00F430C4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документов о вручении ценных подарков (сувенирной продукции) и их учета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распоряжение.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4. Факт передачи (вручения) ценных подарков (сувенирной продукции) подтверждается актом, составленным по фо</w:t>
      </w:r>
      <w:r>
        <w:rPr>
          <w:rFonts w:ascii="Times New Roman" w:hAnsi="Times New Roman" w:cs="Times New Roman"/>
          <w:sz w:val="24"/>
          <w:szCs w:val="24"/>
        </w:rPr>
        <w:t>рме, приведенной в Приложении</w:t>
      </w:r>
      <w:r w:rsidRPr="00F430C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6. Акт о вручении подписывают члены постоянно действующей комиссии по поступлению и выбытию активов.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7. Если при вручении подарков отсутствует возможность подписания акта лицами, не являющимися работниками субъекта учета, допускается оформить акт о вручении без их подписей.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8.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- на забалансовом </w:t>
      </w:r>
      <w:hyperlink r:id="rId6" w:history="1">
        <w:r w:rsidRPr="00F430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счете 07</w:t>
        </w:r>
      </w:hyperlink>
      <w:r w:rsidRPr="00F430C4">
        <w:rPr>
          <w:rFonts w:ascii="Times New Roman" w:hAnsi="Times New Roman" w:cs="Times New Roman"/>
          <w:sz w:val="24"/>
          <w:szCs w:val="24"/>
        </w:rPr>
        <w:t xml:space="preserve"> "Награды, призы, кубки и ценные подарки" информация не отражается.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10.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забалансовом </w:t>
      </w:r>
      <w:hyperlink r:id="rId7" w:history="1">
        <w:r w:rsidRPr="00F430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счете 07</w:t>
        </w:r>
      </w:hyperlink>
      <w:r w:rsidRPr="00F430C4">
        <w:rPr>
          <w:rFonts w:ascii="Times New Roman" w:hAnsi="Times New Roman" w:cs="Times New Roman"/>
          <w:sz w:val="24"/>
          <w:szCs w:val="24"/>
        </w:rPr>
        <w:t xml:space="preserve"> "Награды, призы, кубки и ценные подарки";</w:t>
      </w: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забалансового </w:t>
      </w:r>
      <w:hyperlink r:id="rId8" w:history="1">
        <w:r w:rsidRPr="00F430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счета 07</w:t>
        </w:r>
      </w:hyperlink>
      <w:r w:rsidRPr="00F430C4">
        <w:rPr>
          <w:rFonts w:ascii="Times New Roman" w:hAnsi="Times New Roman" w:cs="Times New Roman"/>
          <w:sz w:val="24"/>
          <w:szCs w:val="24"/>
        </w:rPr>
        <w:t xml:space="preserve"> "Награды, призы, кубки и ценные подарки".</w:t>
      </w:r>
    </w:p>
    <w:p w:rsidR="00F430C4" w:rsidRDefault="00F430C4" w:rsidP="00F4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C4" w:rsidRDefault="00F430C4" w:rsidP="00F4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C4" w:rsidRDefault="00F430C4" w:rsidP="00F430C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30C4" w:rsidRDefault="00F430C4" w:rsidP="00F430C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оформления документов о вручении ценных подарков (сувенирной продукции) и их учета</w:t>
      </w:r>
    </w:p>
    <w:p w:rsidR="00F430C4" w:rsidRDefault="00F430C4" w:rsidP="00F430C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430C4" w:rsidRPr="00F430C4" w:rsidRDefault="00F430C4" w:rsidP="00F430C4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Pr="00F430C4">
        <w:rPr>
          <w:rFonts w:ascii="Times New Roman" w:hAnsi="Times New Roman" w:cs="Times New Roman"/>
          <w:sz w:val="24"/>
          <w:szCs w:val="24"/>
        </w:rPr>
        <w:br/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</w:t>
      </w:r>
      <w:r w:rsidRPr="00F430C4">
        <w:rPr>
          <w:rFonts w:ascii="Times New Roman" w:hAnsi="Times New Roman" w:cs="Times New Roman"/>
          <w:sz w:val="24"/>
          <w:szCs w:val="24"/>
        </w:rPr>
        <w:br/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(должность, фамилия, инициалы руководителя)    </w:t>
      </w:r>
    </w:p>
    <w:p w:rsidR="00F430C4" w:rsidRPr="00F430C4" w:rsidRDefault="00F430C4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430C4" w:rsidRPr="00F430C4" w:rsidRDefault="00F430C4" w:rsidP="00F43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о вручении ценных подарков, сувениров, призов</w:t>
      </w:r>
    </w:p>
    <w:tbl>
      <w:tblPr>
        <w:tblW w:w="5000" w:type="pct"/>
        <w:tblLook w:val="04A0"/>
      </w:tblPr>
      <w:tblGrid>
        <w:gridCol w:w="7987"/>
        <w:gridCol w:w="1300"/>
      </w:tblGrid>
      <w:tr w:rsidR="00F430C4" w:rsidRPr="00F430C4" w:rsidTr="00FE3A09">
        <w:tc>
          <w:tcPr>
            <w:tcW w:w="430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"</w:t>
            </w:r>
            <w:r w:rsidRPr="00F430C4">
              <w:rPr>
                <w:sz w:val="24"/>
                <w:szCs w:val="24"/>
                <w:u w:val="single"/>
              </w:rPr>
              <w:t>       </w:t>
            </w:r>
            <w:r w:rsidRPr="00F430C4">
              <w:rPr>
                <w:sz w:val="24"/>
                <w:szCs w:val="24"/>
              </w:rPr>
              <w:t xml:space="preserve">" </w:t>
            </w:r>
            <w:r w:rsidRPr="00F430C4">
              <w:rPr>
                <w:sz w:val="24"/>
                <w:szCs w:val="24"/>
                <w:u w:val="single"/>
              </w:rPr>
              <w:t>                         </w:t>
            </w:r>
            <w:r w:rsidRPr="00F430C4">
              <w:rPr>
                <w:sz w:val="24"/>
                <w:szCs w:val="24"/>
              </w:rPr>
              <w:t xml:space="preserve"> 20</w:t>
            </w:r>
            <w:r w:rsidRPr="00F430C4">
              <w:rPr>
                <w:sz w:val="24"/>
                <w:szCs w:val="24"/>
                <w:u w:val="single"/>
              </w:rPr>
              <w:t>       </w:t>
            </w:r>
            <w:r w:rsidRPr="00F430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№</w:t>
            </w:r>
            <w:r w:rsidRPr="00F430C4">
              <w:rPr>
                <w:sz w:val="24"/>
                <w:szCs w:val="24"/>
                <w:u w:val="single"/>
              </w:rPr>
              <w:t>             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(должность, фамилия, инициалы)                  </w:t>
      </w:r>
      <w:r w:rsidRPr="00F430C4">
        <w:rPr>
          <w:rFonts w:ascii="Times New Roman" w:hAnsi="Times New Roman" w:cs="Times New Roman"/>
          <w:sz w:val="24"/>
          <w:szCs w:val="24"/>
        </w:rPr>
        <w:t>,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назначенная 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(наименование распорядительного акта руководителя)    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от 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</w:t>
      </w:r>
      <w:r w:rsidRPr="00F430C4">
        <w:rPr>
          <w:rFonts w:ascii="Times New Roman" w:hAnsi="Times New Roman" w:cs="Times New Roman"/>
          <w:sz w:val="24"/>
          <w:szCs w:val="24"/>
        </w:rPr>
        <w:t>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</w:t>
      </w:r>
      <w:r w:rsidRPr="00F430C4">
        <w:rPr>
          <w:rFonts w:ascii="Times New Roman" w:hAnsi="Times New Roman" w:cs="Times New Roman"/>
          <w:sz w:val="24"/>
          <w:szCs w:val="24"/>
        </w:rPr>
        <w:t>20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г. № 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</w:t>
      </w:r>
      <w:r w:rsidRPr="00F430C4">
        <w:rPr>
          <w:rFonts w:ascii="Times New Roman" w:hAnsi="Times New Roman" w:cs="Times New Roman"/>
          <w:sz w:val="24"/>
          <w:szCs w:val="24"/>
        </w:rPr>
        <w:t>,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на основании 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(наименование, номер и дата распорядительного акта о вручении ценного подарка (сувенирной продукции))    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вручен(ы) ценный(е) подарок(и) (сувенирная продукция):</w:t>
      </w:r>
    </w:p>
    <w:tbl>
      <w:tblPr>
        <w:tblW w:w="5000" w:type="pct"/>
        <w:tblLook w:val="04A0"/>
      </w:tblPr>
      <w:tblGrid>
        <w:gridCol w:w="1675"/>
        <w:gridCol w:w="1287"/>
        <w:gridCol w:w="1626"/>
        <w:gridCol w:w="1346"/>
        <w:gridCol w:w="757"/>
        <w:gridCol w:w="922"/>
        <w:gridCol w:w="1674"/>
      </w:tblGrid>
      <w:tr w:rsidR="00F430C4" w:rsidRPr="00F430C4" w:rsidTr="00FE3A09"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Ф.И.О. награждаемого</w:t>
            </w:r>
          </w:p>
        </w:tc>
        <w:tc>
          <w:tcPr>
            <w:tcW w:w="69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Должность *</w:t>
            </w:r>
          </w:p>
        </w:tc>
        <w:tc>
          <w:tcPr>
            <w:tcW w:w="8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7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Количество</w:t>
            </w:r>
          </w:p>
        </w:tc>
        <w:tc>
          <w:tcPr>
            <w:tcW w:w="4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Цена, руб.</w:t>
            </w:r>
          </w:p>
        </w:tc>
        <w:tc>
          <w:tcPr>
            <w:tcW w:w="49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Сумма, руб.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Подпись награжденного **</w:t>
            </w:r>
          </w:p>
        </w:tc>
      </w:tr>
      <w:tr w:rsidR="00F430C4" w:rsidRPr="00F430C4" w:rsidTr="00FE3A09"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7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  <w:tr w:rsidR="00F430C4" w:rsidRPr="00F430C4" w:rsidTr="00FE3A09"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7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  <w:tr w:rsidR="00F430C4" w:rsidRPr="00F430C4" w:rsidTr="00FE3A09"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8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7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</w:tr>
      <w:tr w:rsidR="00F430C4" w:rsidRPr="00F430C4" w:rsidTr="00FE3A09"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Итого</w:t>
            </w:r>
          </w:p>
        </w:tc>
        <w:tc>
          <w:tcPr>
            <w:tcW w:w="69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x</w:t>
            </w:r>
          </w:p>
        </w:tc>
        <w:tc>
          <w:tcPr>
            <w:tcW w:w="8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х</w:t>
            </w:r>
          </w:p>
        </w:tc>
        <w:tc>
          <w:tcPr>
            <w:tcW w:w="7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х</w:t>
            </w:r>
          </w:p>
        </w:tc>
        <w:tc>
          <w:tcPr>
            <w:tcW w:w="49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 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х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** Для лиц, не являющихся работниками субъекта учета, может не заполняться (</w:t>
      </w:r>
      <w:hyperlink r:id="rId9" w:history="1">
        <w:r w:rsidRPr="00F430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Pr="00F430C4">
        <w:rPr>
          <w:rFonts w:ascii="Times New Roman" w:hAnsi="Times New Roman" w:cs="Times New Roman"/>
          <w:sz w:val="24"/>
          <w:szCs w:val="24"/>
        </w:rPr>
        <w:t xml:space="preserve"> Минфина России от 26.04.2019 № 02-07-07/31230).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lastRenderedPageBreak/>
        <w:t>Всего по настоящему акту вручено подарков (сувенирной продукции) на общую сумму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(сумма прописью)                                              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Подписи:</w:t>
      </w:r>
    </w:p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Ответственный за вручение подарков / за проведение мероприятия:</w:t>
      </w:r>
    </w:p>
    <w:tbl>
      <w:tblPr>
        <w:tblW w:w="5000" w:type="pct"/>
        <w:tblLook w:val="04A0"/>
      </w:tblPr>
      <w:tblGrid>
        <w:gridCol w:w="3095"/>
        <w:gridCol w:w="3096"/>
        <w:gridCol w:w="3096"/>
      </w:tblGrid>
      <w:tr w:rsidR="00F430C4" w:rsidRPr="00F430C4" w:rsidTr="00FE3A09"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5000" w:type="pct"/>
        <w:tblLook w:val="04A0"/>
      </w:tblPr>
      <w:tblGrid>
        <w:gridCol w:w="3095"/>
        <w:gridCol w:w="3096"/>
        <w:gridCol w:w="3096"/>
      </w:tblGrid>
      <w:tr w:rsidR="00F430C4" w:rsidRPr="00F430C4" w:rsidTr="00FE3A09"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(должность)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5000" w:type="pct"/>
        <w:tblLook w:val="04A0"/>
      </w:tblPr>
      <w:tblGrid>
        <w:gridCol w:w="3095"/>
        <w:gridCol w:w="3096"/>
        <w:gridCol w:w="3096"/>
      </w:tblGrid>
      <w:tr w:rsidR="00F430C4" w:rsidRPr="00F430C4" w:rsidTr="00FE3A09"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095"/>
        <w:gridCol w:w="3096"/>
        <w:gridCol w:w="3096"/>
      </w:tblGrid>
      <w:tr w:rsidR="00F430C4" w:rsidRPr="00F430C4" w:rsidTr="00FE3A09"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095"/>
        <w:gridCol w:w="3096"/>
        <w:gridCol w:w="3096"/>
      </w:tblGrid>
      <w:tr w:rsidR="00F430C4" w:rsidRPr="00F430C4" w:rsidTr="00FE3A09"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430C4" w:rsidRPr="00F430C4" w:rsidRDefault="00F430C4" w:rsidP="00F430C4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F430C4" w:rsidRPr="00F430C4" w:rsidRDefault="00F430C4" w:rsidP="00F43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0C4">
        <w:rPr>
          <w:rFonts w:ascii="Times New Roman" w:hAnsi="Times New Roman" w:cs="Times New Roman"/>
          <w:sz w:val="24"/>
          <w:szCs w:val="24"/>
        </w:rPr>
        <w:t>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      </w:t>
      </w:r>
      <w:r w:rsidRPr="00F430C4">
        <w:rPr>
          <w:rFonts w:ascii="Times New Roman" w:hAnsi="Times New Roman" w:cs="Times New Roman"/>
          <w:sz w:val="24"/>
          <w:szCs w:val="24"/>
        </w:rPr>
        <w:t>"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                  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20</w:t>
      </w:r>
      <w:r w:rsidRPr="00F430C4">
        <w:rPr>
          <w:rFonts w:ascii="Times New Roman" w:hAnsi="Times New Roman" w:cs="Times New Roman"/>
          <w:sz w:val="24"/>
          <w:szCs w:val="24"/>
          <w:u w:val="single"/>
        </w:rPr>
        <w:t>            </w:t>
      </w:r>
      <w:r w:rsidRPr="00F430C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docEnd_16"/>
      <w:bookmarkEnd w:id="0"/>
    </w:p>
    <w:p w:rsidR="00F430C4" w:rsidRPr="00F430C4" w:rsidRDefault="00F430C4" w:rsidP="00F4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0C4" w:rsidRPr="00F430C4" w:rsidSect="006D7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C9" w:rsidRPr="00C90F7E" w:rsidRDefault="00A71AC9" w:rsidP="006D73C3">
      <w:pPr>
        <w:pStyle w:val="a6"/>
      </w:pPr>
      <w:r>
        <w:separator/>
      </w:r>
    </w:p>
  </w:endnote>
  <w:endnote w:type="continuationSeparator" w:id="1">
    <w:p w:rsidR="00A71AC9" w:rsidRPr="00C90F7E" w:rsidRDefault="00A71AC9" w:rsidP="006D73C3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FB" w:rsidRDefault="005822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FB" w:rsidRDefault="005822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FB" w:rsidRDefault="00582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C9" w:rsidRPr="00C90F7E" w:rsidRDefault="00A71AC9" w:rsidP="006D73C3">
      <w:pPr>
        <w:pStyle w:val="a6"/>
      </w:pPr>
      <w:r>
        <w:separator/>
      </w:r>
    </w:p>
  </w:footnote>
  <w:footnote w:type="continuationSeparator" w:id="1">
    <w:p w:rsidR="00A71AC9" w:rsidRPr="00C90F7E" w:rsidRDefault="00A71AC9" w:rsidP="006D73C3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FB" w:rsidRDefault="00582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11"/>
      <w:docPartObj>
        <w:docPartGallery w:val="Page Numbers (Top of Page)"/>
        <w:docPartUnique/>
      </w:docPartObj>
    </w:sdtPr>
    <w:sdtContent>
      <w:p w:rsidR="005822FB" w:rsidRDefault="005822FB">
        <w:pPr>
          <w:pStyle w:val="a4"/>
          <w:jc w:val="center"/>
        </w:pPr>
      </w:p>
      <w:p w:rsidR="005822FB" w:rsidRDefault="005822FB">
        <w:pPr>
          <w:pStyle w:val="a4"/>
          <w:jc w:val="center"/>
        </w:pPr>
      </w:p>
      <w:p w:rsidR="006D73C3" w:rsidRDefault="00863657">
        <w:pPr>
          <w:pStyle w:val="a4"/>
          <w:jc w:val="center"/>
        </w:pPr>
        <w:fldSimple w:instr=" PAGE   \* MERGEFORMAT ">
          <w:r w:rsidR="005822FB">
            <w:rPr>
              <w:noProof/>
            </w:rPr>
            <w:t>2</w:t>
          </w:r>
        </w:fldSimple>
      </w:p>
    </w:sdtContent>
  </w:sdt>
  <w:p w:rsidR="006D73C3" w:rsidRDefault="006D73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FB" w:rsidRDefault="005822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0C4"/>
    <w:rsid w:val="00303B09"/>
    <w:rsid w:val="005822FB"/>
    <w:rsid w:val="006D73C3"/>
    <w:rsid w:val="00863657"/>
    <w:rsid w:val="008F1D4F"/>
    <w:rsid w:val="00950A97"/>
    <w:rsid w:val="00A71AC9"/>
    <w:rsid w:val="00A9430D"/>
    <w:rsid w:val="00B504C6"/>
    <w:rsid w:val="00F430C4"/>
    <w:rsid w:val="00FC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30C4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F430C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D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3C3"/>
  </w:style>
  <w:style w:type="paragraph" w:styleId="a6">
    <w:name w:val="footer"/>
    <w:basedOn w:val="a"/>
    <w:link w:val="a7"/>
    <w:uiPriority w:val="99"/>
    <w:semiHidden/>
    <w:unhideWhenUsed/>
    <w:rsid w:val="006D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dcterms:created xsi:type="dcterms:W3CDTF">2019-12-28T09:38:00Z</dcterms:created>
  <dcterms:modified xsi:type="dcterms:W3CDTF">2019-12-30T07:46:00Z</dcterms:modified>
</cp:coreProperties>
</file>