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0D8" w:rsidRP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Pr="0030290F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 w:rsidRPr="0030290F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30290F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RPr="0030290F" w:rsidTr="007C0FE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28CD" w:rsidRPr="0030290F" w:rsidRDefault="009C50A3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Объем </w:t>
            </w:r>
            <w:r w:rsidR="001B70D8"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и источники финансирования (тыс.</w:t>
            </w: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028CD" w:rsidRPr="0030290F" w:rsidTr="007C0FE0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  <w:tr w:rsidR="00D028CD" w:rsidRPr="0030290F" w:rsidTr="007C0FE0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предоставлению жилищных субсидий и социальной политике)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237CF2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383,460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237CF2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383,460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EF2624" w:rsidP="00EF262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7,170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EF2624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7,170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районной спартакиаде «Марафон Успеха» среди 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 Комиссия по делам </w:t>
            </w: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594289" w:rsidRPr="0030290F" w:rsidTr="007C0FE0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594289" w:rsidRPr="0030290F" w:rsidTr="007C0FE0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441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9421FB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6,441 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</w:t>
            </w:r>
            <w:r w:rsidRPr="0030290F">
              <w:rPr>
                <w:sz w:val="18"/>
                <w:szCs w:val="18"/>
              </w:rPr>
              <w:lastRenderedPageBreak/>
              <w:t xml:space="preserve">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остоящих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на профилактических учетах</w:t>
            </w:r>
          </w:p>
        </w:tc>
      </w:tr>
      <w:tr w:rsidR="00594289" w:rsidRPr="0030290F" w:rsidTr="00F268A1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237CF2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,020</w:t>
            </w:r>
          </w:p>
          <w:p w:rsidR="00594289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Спорт-здоровое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9,990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Приобретение и установка пожарных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извещателей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 менее 5 штук пожарных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0,310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</w:t>
            </w:r>
          </w:p>
          <w:p w:rsidR="00594289" w:rsidRPr="0030290F" w:rsidRDefault="00944EA6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0,310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</w:t>
            </w:r>
          </w:p>
          <w:p w:rsidR="00594289" w:rsidRPr="0030290F" w:rsidRDefault="00944EA6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56,130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1634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594289" w:rsidRPr="0030290F" w:rsidTr="007C0FE0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Межведомственный семинар  по вопросам социальной адаптации, </w:t>
            </w:r>
            <w:proofErr w:type="spellStart"/>
            <w:r w:rsidRPr="0030290F">
              <w:rPr>
                <w:sz w:val="18"/>
                <w:szCs w:val="18"/>
              </w:rPr>
              <w:t>ресоциализации</w:t>
            </w:r>
            <w:proofErr w:type="spellEnd"/>
            <w:r w:rsidRPr="0030290F">
              <w:rPr>
                <w:sz w:val="18"/>
                <w:szCs w:val="18"/>
              </w:rP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4289" w:rsidRPr="0030290F" w:rsidRDefault="00594289" w:rsidP="00872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594289" w:rsidRPr="0030290F" w:rsidRDefault="00594289" w:rsidP="0087280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уровня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радикализации</w:t>
            </w:r>
            <w:proofErr w:type="spellEnd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594289" w:rsidRPr="0030290F" w:rsidTr="002E24C8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совещаний с участием религиозных и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предоставлению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жилищных 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Информирование по вопросам 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таже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44EA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44EA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  <w:r w:rsidR="009C50A3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наглядной агитации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</w:t>
            </w:r>
            <w:proofErr w:type="gramEnd"/>
            <w:r w:rsidRPr="0030290F">
              <w:rPr>
                <w:sz w:val="18"/>
                <w:szCs w:val="18"/>
              </w:rPr>
              <w:t xml:space="preserve"> </w:t>
            </w:r>
            <w:proofErr w:type="gramStart"/>
            <w:r w:rsidRPr="0030290F">
              <w:rPr>
                <w:sz w:val="18"/>
                <w:szCs w:val="18"/>
              </w:rPr>
              <w:t>«Экстремизм, терроризм, ксенофобия»)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</w:t>
            </w:r>
            <w:proofErr w:type="gramStart"/>
            <w:r w:rsidRPr="0030290F">
              <w:rPr>
                <w:sz w:val="18"/>
                <w:szCs w:val="18"/>
              </w:rPr>
              <w:t>ь-</w:t>
            </w:r>
            <w:proofErr w:type="gramEnd"/>
            <w:r w:rsidRPr="0030290F">
              <w:rPr>
                <w:sz w:val="18"/>
                <w:szCs w:val="18"/>
              </w:rPr>
              <w:t xml:space="preserve">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  <w:p w:rsidR="00237CF2" w:rsidRPr="0030290F" w:rsidRDefault="00237CF2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,990</w:t>
            </w:r>
          </w:p>
          <w:p w:rsidR="00594289" w:rsidRPr="0030290F" w:rsidRDefault="00594289" w:rsidP="00237CF2">
            <w:pPr>
              <w:pStyle w:val="a6"/>
              <w:tabs>
                <w:tab w:val="left" w:pos="368"/>
                <w:tab w:val="center" w:pos="504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</w:r>
            <w:r w:rsidR="00BF652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,990</w:t>
            </w:r>
          </w:p>
          <w:p w:rsidR="00594289" w:rsidRPr="0030290F" w:rsidRDefault="00BF652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  <w:p w:rsidR="00237CF2" w:rsidRPr="0030290F" w:rsidRDefault="00237CF2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  <w:p w:rsidR="00237CF2" w:rsidRPr="0030290F" w:rsidRDefault="00237CF2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237CF2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Погашение кредиторской задолженности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237CF2" w:rsidRPr="0030290F" w:rsidRDefault="00237CF2" w:rsidP="00237CF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37CF2" w:rsidRPr="0030290F" w:rsidRDefault="00237CF2" w:rsidP="00237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37CF2" w:rsidRPr="0030290F" w:rsidRDefault="00237CF2" w:rsidP="00237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237CF2" w:rsidRPr="0030290F" w:rsidRDefault="00237CF2" w:rsidP="00237C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237CF2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Погашение кредиторской задолженности</w:t>
            </w:r>
          </w:p>
        </w:tc>
      </w:tr>
      <w:tr w:rsidR="00237CF2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532,460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F268A1" w:rsidRDefault="009F0E9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</w:t>
      </w:r>
      <w:r w:rsidR="009F0E9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E053D9" w:rsidP="00872803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</w:t>
      </w:r>
      <w:r w:rsidR="00D028CD" w:rsidRPr="0030290F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C137C" w:rsidRPr="0030290F" w:rsidRDefault="00FC137C" w:rsidP="00872803">
      <w:pPr>
        <w:rPr>
          <w:rFonts w:ascii="Times New Roman" w:hAnsi="Times New Roman" w:cs="Times New Roman"/>
          <w:sz w:val="18"/>
          <w:szCs w:val="18"/>
        </w:rPr>
      </w:pPr>
    </w:p>
    <w:sectPr w:rsidR="00FC137C" w:rsidRPr="0030290F" w:rsidSect="00302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20" w:rsidRDefault="00C37420" w:rsidP="00031F2B">
      <w:r>
        <w:separator/>
      </w:r>
    </w:p>
  </w:endnote>
  <w:endnote w:type="continuationSeparator" w:id="0">
    <w:p w:rsidR="00C37420" w:rsidRDefault="00C37420" w:rsidP="0003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20" w:rsidRDefault="00C37420" w:rsidP="00031F2B">
      <w:r>
        <w:separator/>
      </w:r>
    </w:p>
  </w:footnote>
  <w:footnote w:type="continuationSeparator" w:id="0">
    <w:p w:rsidR="00C37420" w:rsidRDefault="00C37420" w:rsidP="0003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0356"/>
      <w:docPartObj>
        <w:docPartGallery w:val="Page Numbers (Top of Page)"/>
        <w:docPartUnique/>
      </w:docPartObj>
    </w:sdtPr>
    <w:sdtContent>
      <w:p w:rsidR="00237CF2" w:rsidRDefault="001A795E">
        <w:pPr>
          <w:pStyle w:val="a8"/>
          <w:jc w:val="center"/>
        </w:pPr>
        <w:fldSimple w:instr=" PAGE   \* MERGEFORMAT ">
          <w:r w:rsidR="00BF6522">
            <w:rPr>
              <w:noProof/>
            </w:rPr>
            <w:t>6</w:t>
          </w:r>
        </w:fldSimple>
      </w:p>
    </w:sdtContent>
  </w:sdt>
  <w:p w:rsidR="00237CF2" w:rsidRDefault="00237C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CD"/>
    <w:rsid w:val="0001753B"/>
    <w:rsid w:val="000264AC"/>
    <w:rsid w:val="00031F2B"/>
    <w:rsid w:val="00032D9C"/>
    <w:rsid w:val="00087245"/>
    <w:rsid w:val="000D3797"/>
    <w:rsid w:val="001634CE"/>
    <w:rsid w:val="001A795E"/>
    <w:rsid w:val="001B70D8"/>
    <w:rsid w:val="001E1347"/>
    <w:rsid w:val="00205B67"/>
    <w:rsid w:val="00206E2C"/>
    <w:rsid w:val="002100F0"/>
    <w:rsid w:val="00222139"/>
    <w:rsid w:val="00237CF2"/>
    <w:rsid w:val="00240AFB"/>
    <w:rsid w:val="00280AE9"/>
    <w:rsid w:val="00282300"/>
    <w:rsid w:val="00294485"/>
    <w:rsid w:val="002B50DE"/>
    <w:rsid w:val="002E24C8"/>
    <w:rsid w:val="0030290F"/>
    <w:rsid w:val="00346590"/>
    <w:rsid w:val="00386FE1"/>
    <w:rsid w:val="003A6755"/>
    <w:rsid w:val="00450E51"/>
    <w:rsid w:val="00470984"/>
    <w:rsid w:val="004767A5"/>
    <w:rsid w:val="0051724D"/>
    <w:rsid w:val="00552325"/>
    <w:rsid w:val="00571787"/>
    <w:rsid w:val="00594289"/>
    <w:rsid w:val="005E2787"/>
    <w:rsid w:val="00671794"/>
    <w:rsid w:val="00673AD5"/>
    <w:rsid w:val="006744AE"/>
    <w:rsid w:val="006A6320"/>
    <w:rsid w:val="006E34ED"/>
    <w:rsid w:val="00784B83"/>
    <w:rsid w:val="007C0FE0"/>
    <w:rsid w:val="007D6F61"/>
    <w:rsid w:val="00851FDF"/>
    <w:rsid w:val="00856752"/>
    <w:rsid w:val="00872803"/>
    <w:rsid w:val="00882073"/>
    <w:rsid w:val="00885700"/>
    <w:rsid w:val="008B7A82"/>
    <w:rsid w:val="0092203D"/>
    <w:rsid w:val="009421FB"/>
    <w:rsid w:val="00944EA6"/>
    <w:rsid w:val="00954CD8"/>
    <w:rsid w:val="009C50A3"/>
    <w:rsid w:val="009C59CB"/>
    <w:rsid w:val="009E24C8"/>
    <w:rsid w:val="009F0E9D"/>
    <w:rsid w:val="00B047EB"/>
    <w:rsid w:val="00B62BDC"/>
    <w:rsid w:val="00B64F1E"/>
    <w:rsid w:val="00B75582"/>
    <w:rsid w:val="00BF6522"/>
    <w:rsid w:val="00C37420"/>
    <w:rsid w:val="00C47843"/>
    <w:rsid w:val="00CF173F"/>
    <w:rsid w:val="00D028CD"/>
    <w:rsid w:val="00D4635A"/>
    <w:rsid w:val="00D61774"/>
    <w:rsid w:val="00D738DE"/>
    <w:rsid w:val="00D7453E"/>
    <w:rsid w:val="00DA4C86"/>
    <w:rsid w:val="00DC7792"/>
    <w:rsid w:val="00E053D9"/>
    <w:rsid w:val="00E466C6"/>
    <w:rsid w:val="00E90CB7"/>
    <w:rsid w:val="00EA5DC5"/>
    <w:rsid w:val="00ED046B"/>
    <w:rsid w:val="00EE1F5D"/>
    <w:rsid w:val="00EF191F"/>
    <w:rsid w:val="00EF2624"/>
    <w:rsid w:val="00EF3970"/>
    <w:rsid w:val="00F268A1"/>
    <w:rsid w:val="00F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56</cp:revision>
  <cp:lastPrinted>2022-01-17T12:03:00Z</cp:lastPrinted>
  <dcterms:created xsi:type="dcterms:W3CDTF">2020-12-15T06:10:00Z</dcterms:created>
  <dcterms:modified xsi:type="dcterms:W3CDTF">2022-11-03T07:49:00Z</dcterms:modified>
</cp:coreProperties>
</file>