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pStyle w:val="a4"/>
        <w:ind w:left="10632"/>
        <w:rPr>
          <w:rFonts w:ascii="Times New Roman" w:hAnsi="Times New Roman"/>
          <w:sz w:val="24"/>
          <w:szCs w:val="24"/>
        </w:rPr>
      </w:pPr>
      <w:r w:rsidRPr="00610521">
        <w:rPr>
          <w:rFonts w:ascii="Times New Roman" w:hAnsi="Times New Roman"/>
          <w:sz w:val="24"/>
          <w:szCs w:val="24"/>
        </w:rPr>
        <w:t>ПРИЛОЖЕНИЕ</w:t>
      </w:r>
    </w:p>
    <w:p w:rsidR="00C75325" w:rsidRPr="00610521" w:rsidRDefault="00C75325" w:rsidP="00C75325">
      <w:pPr>
        <w:pStyle w:val="a4"/>
        <w:ind w:left="10632"/>
        <w:rPr>
          <w:rFonts w:ascii="Times New Roman" w:hAnsi="Times New Roman"/>
          <w:sz w:val="24"/>
          <w:szCs w:val="24"/>
        </w:rPr>
      </w:pPr>
    </w:p>
    <w:p w:rsidR="00C75325" w:rsidRPr="00610521" w:rsidRDefault="00C75325" w:rsidP="00C75325">
      <w:pPr>
        <w:pStyle w:val="a4"/>
        <w:ind w:left="10632"/>
        <w:rPr>
          <w:rFonts w:ascii="Times New Roman" w:hAnsi="Times New Roman"/>
          <w:sz w:val="24"/>
          <w:szCs w:val="24"/>
        </w:rPr>
      </w:pPr>
      <w:r w:rsidRPr="00610521">
        <w:rPr>
          <w:rFonts w:ascii="Times New Roman" w:hAnsi="Times New Roman"/>
          <w:sz w:val="24"/>
          <w:szCs w:val="24"/>
        </w:rPr>
        <w:t>к постановлению</w:t>
      </w:r>
    </w:p>
    <w:p w:rsidR="00C75325" w:rsidRPr="00610521" w:rsidRDefault="00C75325" w:rsidP="00C75325">
      <w:pPr>
        <w:autoSpaceDE w:val="0"/>
        <w:autoSpaceDN w:val="0"/>
        <w:adjustRightInd w:val="0"/>
        <w:spacing w:after="0"/>
        <w:ind w:left="10632"/>
        <w:jc w:val="both"/>
        <w:rPr>
          <w:rFonts w:ascii="Times New Roman" w:hAnsi="Times New Roman"/>
          <w:sz w:val="24"/>
          <w:szCs w:val="24"/>
        </w:rPr>
      </w:pPr>
      <w:r w:rsidRPr="00610521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C75325" w:rsidRPr="00610521" w:rsidRDefault="00C75325" w:rsidP="00C75325">
      <w:pPr>
        <w:autoSpaceDE w:val="0"/>
        <w:autoSpaceDN w:val="0"/>
        <w:adjustRightInd w:val="0"/>
        <w:spacing w:after="0"/>
        <w:ind w:left="10632"/>
        <w:jc w:val="both"/>
        <w:rPr>
          <w:rFonts w:ascii="Times New Roman" w:hAnsi="Times New Roman"/>
          <w:sz w:val="24"/>
          <w:szCs w:val="24"/>
        </w:rPr>
      </w:pPr>
      <w:r w:rsidRPr="00610521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C75325" w:rsidRDefault="00C75325" w:rsidP="00C75325">
      <w:pPr>
        <w:pStyle w:val="a4"/>
        <w:ind w:left="10632"/>
        <w:rPr>
          <w:rFonts w:ascii="Times New Roman" w:hAnsi="Times New Roman"/>
          <w:sz w:val="24"/>
          <w:szCs w:val="24"/>
        </w:rPr>
      </w:pPr>
    </w:p>
    <w:p w:rsidR="00C75325" w:rsidRPr="00610521" w:rsidRDefault="00C75325" w:rsidP="00C75325">
      <w:pPr>
        <w:pStyle w:val="a4"/>
        <w:ind w:left="10632"/>
        <w:rPr>
          <w:rFonts w:ascii="Times New Roman" w:hAnsi="Times New Roman"/>
          <w:sz w:val="24"/>
          <w:szCs w:val="24"/>
        </w:rPr>
      </w:pPr>
      <w:r w:rsidRPr="00610521">
        <w:rPr>
          <w:rFonts w:ascii="Times New Roman" w:hAnsi="Times New Roman"/>
          <w:sz w:val="24"/>
          <w:szCs w:val="24"/>
        </w:rPr>
        <w:t xml:space="preserve">от </w:t>
      </w:r>
      <w:r w:rsidR="000A3598">
        <w:rPr>
          <w:rFonts w:ascii="Times New Roman" w:hAnsi="Times New Roman"/>
          <w:sz w:val="24"/>
          <w:szCs w:val="24"/>
        </w:rPr>
        <w:t xml:space="preserve">                             </w:t>
      </w:r>
      <w:r w:rsidRPr="006105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5325" w:rsidRPr="00276DA6" w:rsidRDefault="00C75325" w:rsidP="00C75325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2"/>
          <w:szCs w:val="22"/>
        </w:rPr>
      </w:pPr>
      <w:r w:rsidRPr="00276DA6">
        <w:rPr>
          <w:rFonts w:ascii="Times New Roman" w:hAnsi="Times New Roman" w:cs="Times New Roman"/>
          <w:bCs/>
          <w:sz w:val="22"/>
          <w:szCs w:val="22"/>
        </w:rPr>
        <w:t>ПЛАН</w:t>
      </w:r>
    </w:p>
    <w:p w:rsidR="00C75325" w:rsidRPr="00276DA6" w:rsidRDefault="00C75325" w:rsidP="00C75325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2"/>
          <w:szCs w:val="22"/>
        </w:rPr>
      </w:pPr>
      <w:r w:rsidRPr="00276DA6">
        <w:rPr>
          <w:rFonts w:ascii="Times New Roman" w:hAnsi="Times New Roman" w:cs="Times New Roman"/>
          <w:bCs/>
          <w:sz w:val="22"/>
          <w:szCs w:val="22"/>
        </w:rPr>
        <w:t xml:space="preserve"> мероприятий («дорожная карта») по содействию развитию конкуренции </w:t>
      </w:r>
    </w:p>
    <w:p w:rsidR="00C75325" w:rsidRPr="00276DA6" w:rsidRDefault="00C75325" w:rsidP="00C75325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2"/>
          <w:szCs w:val="22"/>
        </w:rPr>
      </w:pPr>
      <w:r w:rsidRPr="00276DA6">
        <w:rPr>
          <w:rFonts w:ascii="Times New Roman" w:hAnsi="Times New Roman"/>
          <w:bCs/>
          <w:sz w:val="22"/>
          <w:szCs w:val="22"/>
        </w:rPr>
        <w:t xml:space="preserve">на территории </w:t>
      </w:r>
      <w:r w:rsidRPr="00276DA6">
        <w:rPr>
          <w:rFonts w:ascii="Times New Roman" w:hAnsi="Times New Roman" w:cs="Times New Roman"/>
          <w:sz w:val="22"/>
          <w:szCs w:val="22"/>
        </w:rPr>
        <w:t>Суровикинского муниципального района Волгоградской области</w:t>
      </w:r>
      <w:r w:rsidRPr="00276DA6">
        <w:rPr>
          <w:rFonts w:ascii="Times New Roman" w:hAnsi="Times New Roman"/>
          <w:sz w:val="22"/>
          <w:szCs w:val="22"/>
        </w:rPr>
        <w:t xml:space="preserve"> на 2019-2022 г.г.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1276"/>
        <w:gridCol w:w="1843"/>
        <w:gridCol w:w="2835"/>
        <w:gridCol w:w="2551"/>
        <w:gridCol w:w="2126"/>
      </w:tblGrid>
      <w:tr w:rsidR="00CE554C" w:rsidRPr="00276DA6" w:rsidTr="00CE554C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6D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6DA6">
              <w:rPr>
                <w:rFonts w:ascii="Times New Roman" w:hAnsi="Times New Roman" w:cs="Times New Roman"/>
              </w:rPr>
              <w:t>/</w:t>
            </w:r>
            <w:proofErr w:type="spellStart"/>
            <w:r w:rsidRPr="00276D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Наименование направления,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Срок реализации (год)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Ответственный исполнитель,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Целевой показатель эффективности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E554C" w:rsidRPr="00276DA6" w:rsidTr="00CE554C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7</w:t>
            </w:r>
          </w:p>
        </w:tc>
      </w:tr>
      <w:tr w:rsidR="00C75325" w:rsidRPr="00276DA6" w:rsidTr="00CE554C">
        <w:tc>
          <w:tcPr>
            <w:tcW w:w="1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Системные мероприятия по развитию конкурентной среды в Суровикинском муниципальном районе Волгоградской области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Оптимизация процедур муниципальных закупок товаров, работ и услуг (далее именуются - закупки)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Применение конкурентных процедур при осуществлении закупок для обеспечения муниципальных нужд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 и инвестиционной политики администрации Суровикинского муниципального района Волгоградской области (далее – отдел экономики)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Доля конкурентных процедур в общем объеме закупок для обеспечения муниципальных нужд Суровикинского муниципального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Не менее чем 70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Развитие конкуренции при осуществлении закупок для обеспечения муниципальных нужд Суровикинского муниципального района Волгоградской области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76D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Проведение совместных закупок для заказчиков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E978C3" w:rsidP="00D8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76D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76D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0F4022" w:rsidP="00D8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76DA6">
              <w:rPr>
                <w:rFonts w:ascii="Times New Roman" w:hAnsi="Times New Roman"/>
                <w:sz w:val="20"/>
                <w:szCs w:val="20"/>
              </w:rPr>
              <w:t>Доля совместных закупок (конкурсов и аукционов) для заказчиков Суровикинского муниципального района Волгоградской области от общего объема закупок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4F4C62" w:rsidP="00D8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76D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 менее 5</w:t>
            </w:r>
            <w:r w:rsidR="00E978C3" w:rsidRPr="00276D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76DA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Повышение эффективности и результативности осуществления закупок для обеспечения муниципальных нужд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Рассмотрение вопросов развития </w:t>
            </w:r>
            <w:r w:rsidRPr="00276DA6">
              <w:rPr>
                <w:rFonts w:ascii="Times New Roman" w:hAnsi="Times New Roman" w:cs="Times New Roman"/>
              </w:rPr>
              <w:lastRenderedPageBreak/>
              <w:t xml:space="preserve">конкуренции координационным советом Суровикинского муниципального района Волгоградской области по развитию малого и среднего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Рассмотрение вопросов, связанных с:</w:t>
            </w:r>
            <w:r w:rsidRPr="00276DA6">
              <w:rPr>
                <w:rFonts w:ascii="Times New Roman" w:hAnsi="Times New Roman" w:cs="Times New Roman"/>
              </w:rPr>
              <w:br/>
              <w:t>выполнением плана мероприятий («дорожной карты») по содействию развитию конкуренции в Суровикинском муниципальном районе Волгоградской области на 2019 - 2022 годы;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результатами мониторинга состояния и развития конкурентной среды на рынках товаров и услуг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E04A6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eastAsia="Calibri" w:hAnsi="Times New Roman"/>
                <w:lang w:eastAsia="ru-RU"/>
              </w:rPr>
              <w:t>2019-2022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2F274E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Количество рассмотренных вопросов, </w:t>
            </w:r>
            <w:r w:rsidR="005E4F21" w:rsidRPr="00276DA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AB65EE" w:rsidP="00D80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eastAsia="Calibri" w:hAnsi="Times New Roman"/>
                <w:lang w:eastAsia="ru-RU"/>
              </w:rPr>
              <w:t xml:space="preserve">Не менее </w:t>
            </w:r>
            <w:r w:rsidR="005E4F21" w:rsidRPr="00276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Совершенствование нормативной правовой базы по вопросу содействия развитию конкуренции в Суровикинском муниципальном районе Волгоградской области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7B3C2E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Обучение в области развития конкуренции и антимонопольного законодательства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3.</w:t>
            </w:r>
            <w:r w:rsidR="00F86A65" w:rsidRPr="00276DA6">
              <w:rPr>
                <w:rFonts w:ascii="Times New Roman" w:hAnsi="Times New Roman" w:cs="Times New Roman"/>
              </w:rPr>
              <w:t>1</w:t>
            </w:r>
            <w:r w:rsidRPr="00276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Участие в обучающих мероприятиях по вопросам содействия развитию конкуренции, организованных комитетом экономической политики и развития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B42D64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экономики, либо иные</w:t>
            </w:r>
          </w:p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B42D64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Количество обучающих мероприятий, </w:t>
            </w:r>
            <w:r w:rsidR="00CF082B" w:rsidRPr="00276DA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CE554C" w:rsidRDefault="00CF082B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554C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Совершенствование методического сопровождения деятельности Администрации по вопросам содействия развитию конкуренции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Мониторинг состояния развития конкурентной среды на рынках товаров и услуг Суровикинского муниципального района </w:t>
            </w:r>
            <w:r w:rsidRPr="00276DA6">
              <w:rPr>
                <w:rFonts w:ascii="Times New Roman" w:hAnsi="Times New Roman" w:cs="Times New Roman"/>
              </w:rPr>
              <w:lastRenderedPageBreak/>
              <w:t>Волгоградской области: формирование ежегодного доклада «Состояние и развитие конкурентной среды на рынках товаров и услуг Суровикинского муниципального района Волгоградской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CE554C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CE554C">
              <w:rPr>
                <w:rFonts w:ascii="Times New Roman" w:hAnsi="Times New Roman" w:cs="Times New Roman"/>
              </w:rPr>
              <w:t>Проведение анализа развития конкуренции на рынках товаров и услуг Суровикинского муниципального района Волгоградской области на основе имеющихся результатов опросов и мониторингов, статистической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CE554C" w:rsidRDefault="000A62CB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554C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CE554C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CE554C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CE554C" w:rsidRDefault="00F86A6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554C">
              <w:rPr>
                <w:rFonts w:ascii="Times New Roman" w:hAnsi="Times New Roman" w:cs="Times New Roman"/>
              </w:rPr>
              <w:t xml:space="preserve">Количество </w:t>
            </w:r>
            <w:r w:rsidR="000A62CB" w:rsidRPr="00CE554C">
              <w:rPr>
                <w:rFonts w:ascii="Times New Roman" w:hAnsi="Times New Roman" w:cs="Times New Roman"/>
              </w:rPr>
              <w:t>реализованных мероприятий</w:t>
            </w:r>
            <w:r w:rsidRPr="00CE554C">
              <w:rPr>
                <w:rFonts w:ascii="Times New Roman" w:hAnsi="Times New Roman" w:cs="Times New Roman"/>
              </w:rPr>
              <w:t>, е</w:t>
            </w:r>
            <w:r w:rsidR="00FF2837" w:rsidRPr="00CE554C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B" w:rsidRPr="00CE554C" w:rsidRDefault="00FF2837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5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CE554C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554C">
              <w:rPr>
                <w:rFonts w:ascii="Times New Roman" w:hAnsi="Times New Roman" w:cs="Times New Roman"/>
              </w:rPr>
              <w:t>Формирование данных для ежегодного доклада «Состояние и развитие конкурентной среды на рынках товаров и услуг Суровикинского муниципального района Волгоградской области»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Подготовка ежегодного доклада «Состояние и развитие конкурентной среды на рынках товаров и услуг Суровикинского муниципального района Волгоградской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416C4D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FF2837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Утверждение доклада,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416C4D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Представление ежегодного доклада «Состояние и развитие конкурентной среды на рынках товаров услуг Суровикинского муниципального района Волгоградской области» в комитет экономической политики и развития Волгоградской области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Повышение уровня </w:t>
            </w:r>
            <w:r w:rsidRPr="00276DA6">
              <w:rPr>
                <w:rFonts w:ascii="Times New Roman" w:hAnsi="Times New Roman" w:cs="Times New Roman"/>
              </w:rPr>
              <w:lastRenderedPageBreak/>
              <w:t>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Суровикинском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Размещение информации о ходе внедрения стандарта развития конкуренции на территории Суровикинского муниципального района Волгоградской области на сайте Администрации в разделе «Экономика и финансы» - «Малое и среднее предпринимательство» -  «Развитие конкуренции»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4342F6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D27B49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Обеспечение размещения информации о ходе внедрения стандарта развития конкуренции на территории Суровикинского муниципального района Волгоградской области</w:t>
            </w:r>
            <w:r w:rsidR="00131CB6" w:rsidRPr="00276DA6">
              <w:rPr>
                <w:rFonts w:ascii="Times New Roman" w:hAnsi="Times New Roman" w:cs="Times New Roman"/>
              </w:rPr>
              <w:t>,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0159C4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Не менее </w:t>
            </w:r>
            <w:r w:rsidR="00131CB6" w:rsidRPr="00276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Обеспечение информационной открытости деятельности по внедрению на территории Суровикинского муниципального района Волгоградской области стандарта развития конкуренции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Координация внедрения стандарта развития конкуренции на территории Суровикинского муниципального района Волгоградской области. Координационные мероприятия, проводимые отделом экономики по внедрению стандарта развития конкуренции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2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Участие в организационных и методических совещаниях по вопросам внедрения и реализации стандарта развития конкуренции на территории Волгоградской области, организованных комитетом экономической политики и развития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E80CD4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7CF3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Количество обучающих мероприятий,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7CF3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Не менее </w:t>
            </w:r>
            <w:r w:rsidR="004130BB" w:rsidRPr="00276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Совершенствование методического сопровождения деятельности Администрации по вопросам внедрения и реализации стандарта развития конкуренции на территории Волгоградской области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5325" w:rsidRPr="00276DA6" w:rsidTr="00CE554C">
        <w:tc>
          <w:tcPr>
            <w:tcW w:w="1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  <w:r w:rsidRPr="00276DA6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Участие в мероприятиях, необходимых для регистрации прав муниципальной собственности на объекты неэффективно управляемых муниципальных предприятий,  проведение которых организует комитет жилищно-коммунального хозяйства и топливно-энергетического комплекса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5C66D4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Администрация</w:t>
            </w:r>
            <w:r w:rsidRPr="00276DA6">
              <w:rPr>
                <w:rFonts w:ascii="Times New Roman" w:eastAsia="Batang" w:hAnsi="Times New Roman" w:cs="Times New Roman"/>
              </w:rPr>
              <w:t>,</w:t>
            </w:r>
            <w:r w:rsidRPr="00276DA6">
              <w:rPr>
                <w:rFonts w:ascii="Times New Roman" w:hAnsi="Times New Roman" w:cs="Times New Roman"/>
              </w:rPr>
              <w:t xml:space="preserve"> администрации городского и сельских поселений Суровикинского муниципального района Волгоградской области, на территории которых осуществляют деятельность муниципальные предприятия, признанные неэффективно управляемыми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FE3544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Количество мероприятий,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FE3544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Не менее </w:t>
            </w:r>
            <w:r w:rsidR="0001769B" w:rsidRPr="00276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Проведение мероприятий, необходимых для регистрации прав муниципальной собственности на объекты неэффективно управляемых муниципальных предприятий</w:t>
            </w:r>
          </w:p>
        </w:tc>
      </w:tr>
      <w:tr w:rsidR="00CE554C" w:rsidRPr="00276DA6" w:rsidTr="00CE554C">
        <w:trPr>
          <w:trHeight w:val="5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Default"/>
              <w:rPr>
                <w:sz w:val="20"/>
                <w:szCs w:val="20"/>
              </w:rPr>
            </w:pPr>
            <w:r w:rsidRPr="00276DA6">
              <w:rPr>
                <w:sz w:val="20"/>
                <w:szCs w:val="20"/>
              </w:rPr>
              <w:t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FF737E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rPr>
                <w:rFonts w:ascii="Times New Roman" w:hAnsi="Times New Roman"/>
                <w:sz w:val="20"/>
                <w:szCs w:val="20"/>
              </w:rPr>
            </w:pPr>
            <w:r w:rsidRPr="00276DA6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Суровикинского муниципального района Волгоградской области (далее – отдел ЖКХ), отдел по управлению  муниципальным имуществом и землепользованию администрации Суровикинского муниципального района Волгоградской области (далее – отдел ОИЗ), 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Объекты тепло-, водоснабжения и водоотведения муниципальных предприятий, осуществляющих неэффективное управление, переданные частным коммунальным операторам на основе концессионных соглашений</w:t>
            </w:r>
            <w:r w:rsidR="00D12389" w:rsidRPr="00276DA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Default"/>
              <w:rPr>
                <w:sz w:val="20"/>
                <w:szCs w:val="20"/>
              </w:rPr>
            </w:pPr>
            <w:r w:rsidRPr="00276DA6">
              <w:rPr>
                <w:sz w:val="20"/>
                <w:szCs w:val="20"/>
              </w:rPr>
              <w:t>Увеличение числа субъектов различных организационно-правовых форм хозяйствования и обеспечение повышения качества предоставляемых жилищно-коммунальных услуг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25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3A566E" w:rsidP="00D80F12">
            <w:pPr>
              <w:pStyle w:val="Default"/>
              <w:rPr>
                <w:sz w:val="20"/>
                <w:szCs w:val="20"/>
              </w:rPr>
            </w:pPr>
            <w:r w:rsidRPr="00276DA6">
              <w:rPr>
                <w:sz w:val="20"/>
                <w:szCs w:val="20"/>
              </w:rPr>
              <w:t>Принятие участия в разработке</w:t>
            </w:r>
            <w:r w:rsidR="00C75325" w:rsidRPr="00276DA6">
              <w:rPr>
                <w:sz w:val="20"/>
                <w:szCs w:val="20"/>
              </w:rPr>
              <w:t xml:space="preserve"> конкурсной документации в целях проведения конкурсных процедур на передачу объектов неэффективно управляемых муниципальных предприятий в концессию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rPr>
                <w:rFonts w:ascii="Times New Roman" w:hAnsi="Times New Roman"/>
                <w:sz w:val="20"/>
                <w:szCs w:val="20"/>
              </w:rPr>
            </w:pPr>
            <w:r w:rsidRPr="00276DA6">
              <w:rPr>
                <w:rFonts w:ascii="Times New Roman" w:hAnsi="Times New Roman"/>
                <w:sz w:val="20"/>
                <w:szCs w:val="20"/>
              </w:rPr>
              <w:t>Отдел ЖКХ, отдел ОИЗ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Доля объектов тепло-, водоснабжения и водоотведения муниципальных предприятий, осуществляющих неэффективное управление, переданных частным коммунальным операторам на основе концессионных соглашений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FA036C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Default"/>
              <w:rPr>
                <w:sz w:val="20"/>
                <w:szCs w:val="20"/>
              </w:rPr>
            </w:pPr>
            <w:r w:rsidRPr="00276DA6">
              <w:rPr>
                <w:sz w:val="20"/>
                <w:szCs w:val="20"/>
              </w:rPr>
              <w:t>Разработка конкурсной документации в целях проведения конкурсных процедур на передачу объектов неэффективно управляемых муниципальных предприятий в концессию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76DA6">
              <w:rPr>
                <w:rFonts w:ascii="Times New Roman" w:hAnsi="Times New Roman"/>
                <w:bCs/>
                <w:sz w:val="20"/>
                <w:szCs w:val="20"/>
              </w:rPr>
              <w:t>Рынок розничной торговли</w:t>
            </w:r>
            <w:r w:rsidRPr="00276DA6">
              <w:rPr>
                <w:rStyle w:val="a7"/>
                <w:rFonts w:ascii="Times New Roman" w:hAnsi="Times New Roman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DA6">
              <w:rPr>
                <w:rFonts w:ascii="Times New Roman" w:hAnsi="Times New Roman"/>
                <w:bCs/>
                <w:sz w:val="20"/>
                <w:szCs w:val="20"/>
              </w:rPr>
              <w:t>Обеспечение возможности осуществления розничной торговли на рынках и ярмарках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Рост доли оборота розничной торговли, осуществляемой на рынках и ярмарках, в структуре оборота розничной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12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 год -</w:t>
            </w:r>
            <w:r w:rsidR="00965E12" w:rsidRPr="00276DA6">
              <w:rPr>
                <w:rFonts w:ascii="Times New Roman" w:hAnsi="Times New Roman" w:cs="Times New Roman"/>
              </w:rPr>
              <w:t>4,5</w:t>
            </w:r>
            <w:r w:rsidRPr="00276DA6">
              <w:rPr>
                <w:rFonts w:ascii="Times New Roman" w:hAnsi="Times New Roman" w:cs="Times New Roman"/>
              </w:rPr>
              <w:t xml:space="preserve"> процент; 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 год -</w:t>
            </w:r>
            <w:r w:rsidR="00965E12" w:rsidRPr="00276DA6">
              <w:rPr>
                <w:rFonts w:ascii="Times New Roman" w:hAnsi="Times New Roman" w:cs="Times New Roman"/>
              </w:rPr>
              <w:t>4,5</w:t>
            </w:r>
            <w:r w:rsidRPr="00276DA6">
              <w:rPr>
                <w:rFonts w:ascii="Times New Roman" w:hAnsi="Times New Roman" w:cs="Times New Roman"/>
              </w:rPr>
              <w:t xml:space="preserve"> процента;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2021 год -</w:t>
            </w:r>
            <w:r w:rsidR="00965E12" w:rsidRPr="00276DA6">
              <w:rPr>
                <w:rFonts w:ascii="Times New Roman" w:hAnsi="Times New Roman" w:cs="Times New Roman"/>
              </w:rPr>
              <w:t>5</w:t>
            </w:r>
            <w:r w:rsidRPr="00276DA6">
              <w:rPr>
                <w:rFonts w:ascii="Times New Roman" w:hAnsi="Times New Roman" w:cs="Times New Roman"/>
              </w:rPr>
              <w:t xml:space="preserve"> процентов;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2022 год -</w:t>
            </w:r>
            <w:r w:rsidR="00965E12" w:rsidRPr="00276DA6">
              <w:rPr>
                <w:rFonts w:ascii="Times New Roman" w:hAnsi="Times New Roman" w:cs="Times New Roman"/>
              </w:rPr>
              <w:t xml:space="preserve">7 </w:t>
            </w:r>
            <w:r w:rsidRPr="00276DA6">
              <w:rPr>
                <w:rFonts w:ascii="Times New Roman" w:hAnsi="Times New Roman" w:cs="Times New Roman"/>
              </w:rPr>
              <w:t>процентов.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Обеспечение возможности осуществления розничной торговли на рынках и ярмарках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DA6">
              <w:rPr>
                <w:rFonts w:ascii="Times New Roman" w:hAnsi="Times New Roman"/>
                <w:bCs/>
                <w:sz w:val="20"/>
                <w:szCs w:val="20"/>
              </w:rPr>
              <w:t>Актуализация сведений, содержащихся в торговом реестре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F15C7D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156838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  <w:i/>
              </w:rPr>
              <w:t xml:space="preserve">Реализация </w:t>
            </w:r>
            <w:hyperlink r:id="rId6" w:history="1">
              <w:r w:rsidRPr="00276DA6">
                <w:rPr>
                  <w:rFonts w:ascii="Times New Roman" w:hAnsi="Times New Roman" w:cs="Times New Roman"/>
                  <w:i/>
                  <w:color w:val="000000" w:themeColor="text1"/>
                </w:rPr>
                <w:t>статей 5</w:t>
              </w:r>
            </w:hyperlink>
            <w:r w:rsidRPr="00276D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hyperlink r:id="rId7" w:history="1">
              <w:r w:rsidRPr="00276DA6">
                <w:rPr>
                  <w:rFonts w:ascii="Times New Roman" w:hAnsi="Times New Roman" w:cs="Times New Roman"/>
                  <w:i/>
                  <w:color w:val="000000" w:themeColor="text1"/>
                </w:rPr>
                <w:t>20</w:t>
              </w:r>
            </w:hyperlink>
            <w:r w:rsidRPr="00276DA6">
              <w:rPr>
                <w:rFonts w:ascii="Times New Roman" w:hAnsi="Times New Roman" w:cs="Times New Roman"/>
                <w:i/>
              </w:rPr>
              <w:t xml:space="preserve"> </w:t>
            </w:r>
            <w:r w:rsidRPr="00276DA6">
              <w:rPr>
                <w:rFonts w:ascii="Times New Roman" w:hAnsi="Times New Roman" w:cs="Times New Roman"/>
              </w:rPr>
              <w:t>Федерального закона от 28 декабря 2009 г.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6134BB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Не менее </w:t>
            </w:r>
            <w:r w:rsidR="00F15C7D" w:rsidRPr="00276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  <w:color w:val="000000"/>
              </w:rPr>
              <w:t xml:space="preserve">Формирование необходимых для аналитической </w:t>
            </w:r>
            <w:hyperlink r:id="rId8" w:history="1">
              <w:r w:rsidRPr="00CE554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работы</w:t>
              </w:r>
            </w:hyperlink>
            <w:r w:rsidRPr="00CE554C">
              <w:rPr>
                <w:rFonts w:ascii="Times New Roman" w:hAnsi="Times New Roman" w:cs="Times New Roman"/>
              </w:rPr>
              <w:t xml:space="preserve"> </w:t>
            </w:r>
            <w:r w:rsidRPr="00276DA6">
              <w:rPr>
                <w:rFonts w:ascii="Times New Roman" w:hAnsi="Times New Roman" w:cs="Times New Roman"/>
                <w:color w:val="000000"/>
              </w:rPr>
              <w:t xml:space="preserve">совокупности сведений о торговых организациях и индивидуальных </w:t>
            </w:r>
            <w:r w:rsidRPr="00276DA6">
              <w:rPr>
                <w:rFonts w:ascii="Times New Roman" w:hAnsi="Times New Roman" w:cs="Times New Roman"/>
                <w:color w:val="000000"/>
              </w:rPr>
              <w:lastRenderedPageBreak/>
              <w:t>предпринимателях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  <w:r w:rsidRPr="00276DA6">
              <w:rPr>
                <w:rStyle w:val="a7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6E00E7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Содействие развитию негосударственного сектора в сфере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3D314C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3C1EC0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650802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Не менее 7</w:t>
            </w:r>
            <w:r w:rsidR="00557C28" w:rsidRPr="00276DA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Обеспечение развития конкуренции на рынке перевозок пассажиров автомобильным транспортом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Рынок услуг связи</w:t>
            </w:r>
            <w:r w:rsidRPr="00276DA6">
              <w:rPr>
                <w:rStyle w:val="a7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широкополосного доступа к </w:t>
            </w:r>
            <w:r w:rsidRPr="00276DA6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Интернет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Администрация,</w:t>
            </w:r>
          </w:p>
          <w:p w:rsidR="00C75325" w:rsidRPr="00276DA6" w:rsidRDefault="00C75325" w:rsidP="00D80F12">
            <w:pPr>
              <w:pStyle w:val="Default"/>
              <w:rPr>
                <w:sz w:val="20"/>
                <w:szCs w:val="20"/>
              </w:rPr>
            </w:pPr>
            <w:r w:rsidRPr="00276DA6">
              <w:rPr>
                <w:sz w:val="20"/>
                <w:szCs w:val="20"/>
              </w:rPr>
              <w:t xml:space="preserve">администрации сельских </w:t>
            </w:r>
            <w:r w:rsidRPr="00276DA6">
              <w:rPr>
                <w:sz w:val="20"/>
                <w:szCs w:val="20"/>
              </w:rPr>
              <w:lastRenderedPageBreak/>
              <w:t>поселений Суровикинского муниципального района Волгоградской области (по согласованию)</w:t>
            </w:r>
          </w:p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 xml:space="preserve">Доля населенных пунктов, обеспеченных широкополосным доступом к </w:t>
            </w:r>
            <w:r w:rsidRPr="00276DA6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Интернет на скорости не менее 1 Мбит/сек, предоставляемым не менее чем 1 оператором связи, в общем количестве населенных пунктов в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65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Широкополосный доступ к информационно-</w:t>
            </w:r>
            <w:r w:rsidRPr="00276DA6">
              <w:rPr>
                <w:rFonts w:ascii="Times New Roman" w:hAnsi="Times New Roman" w:cs="Times New Roman"/>
              </w:rPr>
              <w:lastRenderedPageBreak/>
              <w:t>телекоммуникационной сети Интернет на всей территории Суровикинского муниципального района Волгоградской области</w:t>
            </w:r>
          </w:p>
        </w:tc>
      </w:tr>
      <w:tr w:rsidR="00C75325" w:rsidRPr="00276DA6" w:rsidTr="00CE554C">
        <w:tc>
          <w:tcPr>
            <w:tcW w:w="1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Мероприятия по содействию развитию конкуренции на приоритетных рынках</w:t>
            </w: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Рынок сельскохозяйственного производства</w:t>
            </w:r>
            <w:r w:rsidRPr="00276DA6">
              <w:rPr>
                <w:rStyle w:val="a7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A6">
              <w:rPr>
                <w:rFonts w:ascii="Times New Roman" w:hAnsi="Times New Roman"/>
                <w:sz w:val="20"/>
                <w:szCs w:val="20"/>
              </w:rPr>
              <w:t>Развитие малых форм хозяйствования, посредством оказания поддержки начинающим фермерам, развитие семейных животноводческих ферм</w:t>
            </w:r>
          </w:p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Отдел по сельскому хозяйству, продовольствию и природопользованию администрации Суровикинского муниципального района Волгоградской области (далее именуется – отдел </w:t>
            </w:r>
            <w:r w:rsidRPr="00276DA6">
              <w:rPr>
                <w:rFonts w:ascii="Times New Roman" w:hAnsi="Times New Roman" w:cs="Times New Roman"/>
              </w:rPr>
              <w:lastRenderedPageBreak/>
              <w:t>по сельскому хозяйству)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Default"/>
              <w:rPr>
                <w:sz w:val="20"/>
                <w:szCs w:val="20"/>
              </w:rPr>
            </w:pPr>
            <w:r w:rsidRPr="00276DA6">
              <w:rPr>
                <w:sz w:val="20"/>
                <w:szCs w:val="20"/>
              </w:rPr>
              <w:lastRenderedPageBreak/>
              <w:t>Сокращение импортной продовольственной продукции, реализация инвестиционных проектов в сфере овощеводства защищенного грунта, способствующих увеличению ассортимента на продовольственном рынке</w:t>
            </w:r>
          </w:p>
          <w:p w:rsidR="00C75325" w:rsidRPr="00276DA6" w:rsidRDefault="00C75325" w:rsidP="00D80F12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числа малых форм хозяйствования, увеличение новых рабочих мест,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объемов производства сельскохозяйственной продукции, повышение инвестиционной активности в сфере агропромышленного комплекса</w:t>
            </w:r>
          </w:p>
        </w:tc>
      </w:tr>
      <w:tr w:rsidR="00CE554C" w:rsidRPr="00276DA6" w:rsidTr="00CE554C">
        <w:trPr>
          <w:trHeight w:val="5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11.1.1.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DA6">
              <w:rPr>
                <w:rFonts w:ascii="Times New Roman" w:hAnsi="Times New Roman"/>
                <w:sz w:val="20"/>
                <w:szCs w:val="20"/>
              </w:rPr>
              <w:t>Оказание поддержки начинающим фермерам (предоставление грантов на создание и развитие крестьянских (фермерских) хозяйств и единовременной помощи на бытовое обустройство начинающим фермерам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по сельскому хозяйству</w:t>
            </w:r>
          </w:p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числа начинающих фермеров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 год – не менее 3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 год – не менее 4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2021 год – не менее 5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2022 год – не менее 5 ед.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Default"/>
              <w:rPr>
                <w:sz w:val="20"/>
                <w:szCs w:val="20"/>
              </w:rPr>
            </w:pPr>
          </w:p>
        </w:tc>
      </w:tr>
      <w:tr w:rsidR="00CE554C" w:rsidRPr="00276DA6" w:rsidTr="00CE554C">
        <w:trPr>
          <w:trHeight w:val="1109"/>
        </w:trPr>
        <w:tc>
          <w:tcPr>
            <w:tcW w:w="9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новых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 год – не менее 5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 год – не менее 6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2021 год – не менее 7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2022 год – не менее 8 ед.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10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объемов производства сельскохозяйственной продукции, в т.ч. зерновых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 год – не менее 350 т.;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 год – не менее 400 т.;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2021 год – не менее 450 т.;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2022 год – не менее 455 т.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6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11.1.2.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A6">
              <w:rPr>
                <w:rFonts w:ascii="Times New Roman" w:hAnsi="Times New Roman"/>
                <w:sz w:val="20"/>
                <w:szCs w:val="20"/>
              </w:rPr>
              <w:t>Оказание поддержки на развитие семейных животноводческих ферм на базе крестьянских (фермерских) хозяйств (предоставление грантов на развитие семейных животноводческих ферм)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Отдел по сельскому хозяйству</w:t>
            </w:r>
          </w:p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числа семейных животноводческих ферм на базе крестьянских (фермерских) хозяйств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 год – не менее 1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 год – не менее 1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2021 год – не менее 1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2022 год – не менее 1 ед.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605"/>
        </w:trPr>
        <w:tc>
          <w:tcPr>
            <w:tcW w:w="9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рабочих мест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 год – не менее 3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 год – не менее 3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2021 год – не менее 3 ед.;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2022 год – не мене  3 ед.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825"/>
        </w:trPr>
        <w:tc>
          <w:tcPr>
            <w:tcW w:w="9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объемов производства сельскохозяйственной продукции, в т.ч. молочной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 год – не менее 620 т.;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 год – не менее 630 т.;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2021 год – не менее 650 т;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2022 год – не мене  660 т.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8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Мясной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 год – не менее 24 т.;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2020 год – не менее 25 т.;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2021 год – не менее 26 т;</w:t>
            </w:r>
          </w:p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2022 год </w:t>
            </w:r>
            <w:proofErr w:type="gramStart"/>
            <w:r w:rsidRPr="00276DA6">
              <w:rPr>
                <w:rFonts w:ascii="Times New Roman" w:hAnsi="Times New Roman" w:cs="Times New Roman"/>
              </w:rPr>
              <w:t>–н</w:t>
            </w:r>
            <w:proofErr w:type="gramEnd"/>
            <w:r w:rsidRPr="00276DA6">
              <w:rPr>
                <w:rFonts w:ascii="Times New Roman" w:hAnsi="Times New Roman" w:cs="Times New Roman"/>
              </w:rPr>
              <w:t>е мене  26,5 т.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8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DA6">
              <w:rPr>
                <w:rFonts w:ascii="Times New Roman" w:hAnsi="Times New Roman"/>
                <w:sz w:val="20"/>
                <w:szCs w:val="20"/>
              </w:rPr>
              <w:t xml:space="preserve">Проведение практических обучающих семинаров по сельскохозяйственной тематике.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Администрация, комитет сельского хозяйства Волгоградской </w:t>
            </w:r>
            <w:r w:rsidRPr="00276DA6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Обеспечение информационной  консультационной поддержкой </w:t>
            </w:r>
            <w:proofErr w:type="spellStart"/>
            <w:r w:rsidRPr="00276DA6">
              <w:rPr>
                <w:rFonts w:ascii="Times New Roman" w:hAnsi="Times New Roman" w:cs="Times New Roman"/>
              </w:rPr>
              <w:t>сельхозтоваропроизво</w:t>
            </w:r>
            <w:r w:rsidRPr="00276DA6">
              <w:rPr>
                <w:rFonts w:ascii="Times New Roman" w:hAnsi="Times New Roman" w:cs="Times New Roman"/>
              </w:rPr>
              <w:lastRenderedPageBreak/>
              <w:t>дителей</w:t>
            </w:r>
            <w:proofErr w:type="spellEnd"/>
          </w:p>
        </w:tc>
      </w:tr>
      <w:tr w:rsidR="00CE554C" w:rsidRPr="00276DA6" w:rsidTr="00CE55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Рынок услуг физической культуры и спорта</w:t>
            </w:r>
            <w:r w:rsidRPr="00276DA6">
              <w:rPr>
                <w:rStyle w:val="a7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spacing w:line="260" w:lineRule="exac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E554C" w:rsidRPr="00276DA6" w:rsidTr="00CE554C">
        <w:trPr>
          <w:trHeight w:val="30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15551E" w:rsidP="00D80F12">
            <w:pPr>
              <w:pStyle w:val="ConsPlusNormal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Содействие р</w:t>
            </w:r>
            <w:r w:rsidR="00C75325" w:rsidRPr="00276DA6">
              <w:rPr>
                <w:rFonts w:ascii="Times New Roman" w:hAnsi="Times New Roman" w:cs="Times New Roman"/>
              </w:rPr>
              <w:t>азвити</w:t>
            </w:r>
            <w:r w:rsidRPr="00276DA6">
              <w:rPr>
                <w:rFonts w:ascii="Times New Roman" w:hAnsi="Times New Roman" w:cs="Times New Roman"/>
              </w:rPr>
              <w:t>ю</w:t>
            </w:r>
            <w:r w:rsidR="00C75325" w:rsidRPr="00276DA6">
              <w:rPr>
                <w:rFonts w:ascii="Times New Roman" w:hAnsi="Times New Roman" w:cs="Times New Roman"/>
              </w:rPr>
              <w:t xml:space="preserve"> сектора негосударственн</w:t>
            </w:r>
            <w:r w:rsidRPr="00276DA6">
              <w:rPr>
                <w:rFonts w:ascii="Times New Roman" w:hAnsi="Times New Roman" w:cs="Times New Roman"/>
              </w:rPr>
              <w:t>ого</w:t>
            </w:r>
            <w:r w:rsidR="00C75325" w:rsidRPr="00276DA6">
              <w:rPr>
                <w:rFonts w:ascii="Times New Roman" w:hAnsi="Times New Roman" w:cs="Times New Roman"/>
              </w:rPr>
              <w:t xml:space="preserve"> (немуниципальных) </w:t>
            </w:r>
            <w:r w:rsidRPr="00276DA6">
              <w:rPr>
                <w:rFonts w:ascii="Times New Roman" w:hAnsi="Times New Roman" w:cs="Times New Roman"/>
              </w:rPr>
              <w:t>сектора  в сфере услуг</w:t>
            </w:r>
            <w:r w:rsidR="00C75325" w:rsidRPr="00276DA6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5" w:rsidRPr="00276DA6" w:rsidRDefault="00C75325" w:rsidP="00D80F12">
            <w:pPr>
              <w:rPr>
                <w:rFonts w:ascii="Times New Roman" w:hAnsi="Times New Roman"/>
                <w:sz w:val="20"/>
                <w:szCs w:val="20"/>
              </w:rPr>
            </w:pPr>
            <w:r w:rsidRPr="00276DA6">
              <w:rPr>
                <w:rFonts w:ascii="Times New Roman" w:hAnsi="Times New Roman"/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15551E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76DA6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276DA6">
              <w:rPr>
                <w:rFonts w:ascii="Times New Roman" w:hAnsi="Times New Roman" w:cs="Times New Roman"/>
              </w:rPr>
              <w:t xml:space="preserve"> физической культурой и спортом, процент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5" w:rsidRPr="00276DA6" w:rsidRDefault="00C75325" w:rsidP="00D80F1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>Увеличение количества людей, занимающихся физической культурой и спортом</w:t>
            </w:r>
          </w:p>
        </w:tc>
      </w:tr>
    </w:tbl>
    <w:p w:rsidR="00C75325" w:rsidRDefault="00C75325" w:rsidP="00CE554C">
      <w:pPr>
        <w:pStyle w:val="ConsPlusNormal"/>
        <w:outlineLvl w:val="2"/>
        <w:rPr>
          <w:rFonts w:ascii="Times New Roman" w:hAnsi="Times New Roman" w:cs="Times New Roman"/>
          <w:sz w:val="25"/>
          <w:szCs w:val="25"/>
        </w:rPr>
      </w:pPr>
    </w:p>
    <w:sectPr w:rsidR="00C75325" w:rsidSect="00CE554C">
      <w:headerReference w:type="default" r:id="rId9"/>
      <w:pgSz w:w="16838" w:h="11905" w:orient="landscape" w:code="9"/>
      <w:pgMar w:top="1135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73" w:rsidRDefault="00170173" w:rsidP="00C75325">
      <w:pPr>
        <w:spacing w:after="0" w:line="240" w:lineRule="auto"/>
      </w:pPr>
      <w:r>
        <w:separator/>
      </w:r>
    </w:p>
  </w:endnote>
  <w:endnote w:type="continuationSeparator" w:id="0">
    <w:p w:rsidR="00170173" w:rsidRDefault="00170173" w:rsidP="00C7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73" w:rsidRDefault="00170173" w:rsidP="00C75325">
      <w:pPr>
        <w:spacing w:after="0" w:line="240" w:lineRule="auto"/>
      </w:pPr>
      <w:r>
        <w:separator/>
      </w:r>
    </w:p>
  </w:footnote>
  <w:footnote w:type="continuationSeparator" w:id="0">
    <w:p w:rsidR="00170173" w:rsidRDefault="00170173" w:rsidP="00C75325">
      <w:pPr>
        <w:spacing w:after="0" w:line="240" w:lineRule="auto"/>
      </w:pPr>
      <w:r>
        <w:continuationSeparator/>
      </w:r>
    </w:p>
  </w:footnote>
  <w:footnote w:id="1">
    <w:p w:rsidR="00C75325" w:rsidRDefault="00C75325" w:rsidP="00C75325">
      <w:pPr>
        <w:pStyle w:val="a4"/>
        <w:ind w:firstLine="567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808D2">
        <w:rPr>
          <w:rFonts w:ascii="Times New Roman" w:hAnsi="Times New Roman"/>
          <w:sz w:val="20"/>
          <w:szCs w:val="20"/>
        </w:rPr>
        <w:t>Рынок услуг жилищно-коммунального хозяйства.</w:t>
      </w:r>
    </w:p>
    <w:p w:rsidR="00C75325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4808D2">
        <w:rPr>
          <w:rFonts w:ascii="Times New Roman" w:hAnsi="Times New Roman"/>
          <w:sz w:val="20"/>
          <w:szCs w:val="20"/>
        </w:rPr>
        <w:t>Текущая ситуация на рынке услуг жилищно-коммунального хозяйства на территории Суровикинского муниципального района Волгоградской области. Комплексом мер («дорожной картой») по развитию жилищно-коммунального хозяйства Суровикинского муниципального района Волгоградской области, утвержденным постановлением администрации Суровикинского муниципального района Волгоградской области от 20 февраля 2015 г. № 197, определены мероприятия по развитию жилищно-коммунального хозяйства, из которых основными являются: функционирование региональной системы капитального ремонта общего имущества в многоквартирных домах; модернизация объектов жилищно-коммунального хозяйства в сфере водоснабжения, водоотведения и теплоснабжения (далее именуются – мероприятия по развитию ЖКХ).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8D2">
        <w:rPr>
          <w:rFonts w:ascii="Times New Roman" w:hAnsi="Times New Roman"/>
          <w:sz w:val="20"/>
          <w:szCs w:val="20"/>
        </w:rPr>
        <w:t>На территории района  насчитывается 116 многоквартирных домов (далее – МКД) общей площадью 108,4 тыс.кв</w:t>
      </w:r>
      <w:proofErr w:type="gramStart"/>
      <w:r w:rsidRPr="004808D2">
        <w:rPr>
          <w:rFonts w:ascii="Times New Roman" w:hAnsi="Times New Roman"/>
          <w:sz w:val="20"/>
          <w:szCs w:val="20"/>
        </w:rPr>
        <w:t>.м</w:t>
      </w:r>
      <w:proofErr w:type="gramEnd"/>
      <w:r w:rsidRPr="004808D2">
        <w:rPr>
          <w:rFonts w:ascii="Times New Roman" w:hAnsi="Times New Roman"/>
          <w:sz w:val="20"/>
          <w:szCs w:val="20"/>
        </w:rPr>
        <w:t>етров, на которые в силу требований Жилищного кодекса Российской Федерации распространяется обязанность собственников помещений по оплате расходов на капитальный ремонт и 244 дом блокированной застройки.</w:t>
      </w:r>
    </w:p>
    <w:p w:rsidR="00C75325" w:rsidRPr="004808D2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4808D2">
        <w:rPr>
          <w:rFonts w:ascii="Times New Roman" w:hAnsi="Times New Roman"/>
          <w:sz w:val="20"/>
          <w:szCs w:val="20"/>
        </w:rPr>
        <w:t xml:space="preserve"> В настоящее время работают:</w:t>
      </w:r>
    </w:p>
    <w:p w:rsidR="00C75325" w:rsidRPr="004808D2" w:rsidRDefault="00C75325" w:rsidP="00C7532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808D2">
        <w:rPr>
          <w:rFonts w:ascii="Times New Roman" w:hAnsi="Times New Roman"/>
          <w:sz w:val="20"/>
          <w:szCs w:val="20"/>
        </w:rPr>
        <w:t xml:space="preserve">3 управляющих компании; </w:t>
      </w:r>
    </w:p>
    <w:p w:rsidR="00C75325" w:rsidRPr="004808D2" w:rsidRDefault="00C75325" w:rsidP="00C75325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 w:rsidRPr="004808D2">
        <w:rPr>
          <w:rFonts w:ascii="Times New Roman" w:hAnsi="Times New Roman"/>
          <w:sz w:val="20"/>
          <w:szCs w:val="20"/>
        </w:rPr>
        <w:t xml:space="preserve">3  муниципальных унитарных предприятия, из них 2 являются </w:t>
      </w:r>
      <w:proofErr w:type="spellStart"/>
      <w:r w:rsidRPr="004808D2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4808D2">
        <w:rPr>
          <w:rFonts w:ascii="Times New Roman" w:hAnsi="Times New Roman"/>
          <w:sz w:val="20"/>
          <w:szCs w:val="20"/>
        </w:rPr>
        <w:t>;</w:t>
      </w:r>
      <w:proofErr w:type="gramEnd"/>
    </w:p>
    <w:p w:rsidR="00C75325" w:rsidRPr="004808D2" w:rsidRDefault="00C75325" w:rsidP="00C7532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808D2">
        <w:rPr>
          <w:rFonts w:ascii="Times New Roman" w:hAnsi="Times New Roman"/>
          <w:sz w:val="20"/>
          <w:szCs w:val="20"/>
        </w:rPr>
        <w:t>2 негосударственные (немуниципальные) организации.</w:t>
      </w:r>
    </w:p>
    <w:p w:rsidR="00C75325" w:rsidRPr="004808D2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4808D2">
        <w:rPr>
          <w:rFonts w:ascii="Times New Roman" w:hAnsi="Times New Roman"/>
          <w:bCs/>
          <w:iCs/>
          <w:sz w:val="20"/>
          <w:szCs w:val="20"/>
        </w:rPr>
        <w:t>Одной из проблем сдерживания развития района является недостаточное обеспечение населенных пунктов централизованным водоснабжением и водоотведением, соответствующими нормативным требованиям. О</w:t>
      </w:r>
      <w:r w:rsidRPr="004808D2">
        <w:rPr>
          <w:rFonts w:ascii="Times New Roman" w:hAnsi="Times New Roman"/>
          <w:sz w:val="20"/>
          <w:szCs w:val="20"/>
        </w:rPr>
        <w:t>беспечение населения качественной питьевой водой становится одним из приоритетных вопросов, направленных на сохранение здоровья и улучшение условий проживания жителей района.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8D2">
        <w:rPr>
          <w:rFonts w:ascii="Times New Roman" w:hAnsi="Times New Roman"/>
          <w:sz w:val="20"/>
          <w:szCs w:val="20"/>
        </w:rPr>
        <w:t>Централизованным водоснабжением пользуется 42 процента населения района, централизованной системой водоотведения – 10,4 процента населения.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808D2">
        <w:rPr>
          <w:rFonts w:ascii="Times New Roman" w:hAnsi="Times New Roman"/>
          <w:sz w:val="20"/>
          <w:szCs w:val="20"/>
        </w:rPr>
        <w:t>В целях создания на территории района условий по привлечению частных инвестиций в сферу жилищно-коммунального хозяйства проводятся мероприятия по регистрации прав собственности на объекты коммунальной инфраструктуры, по утверждению и актуализации программ комплексного развития систем коммунальной инфраструктуры, а также схем тепло-, водоснабжения и водоотведения, проводится работа в отношении объектов коммунального хозяйства планируемых к передаче на условиях концессионного соглашения на 2020 год в</w:t>
      </w:r>
      <w:proofErr w:type="gramEnd"/>
      <w:r w:rsidRPr="004808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808D2">
        <w:rPr>
          <w:rFonts w:ascii="Times New Roman" w:hAnsi="Times New Roman"/>
          <w:sz w:val="20"/>
          <w:szCs w:val="20"/>
        </w:rPr>
        <w:t>отношении</w:t>
      </w:r>
      <w:proofErr w:type="gramEnd"/>
      <w:r w:rsidRPr="004808D2">
        <w:rPr>
          <w:rFonts w:ascii="Times New Roman" w:hAnsi="Times New Roman"/>
          <w:sz w:val="20"/>
          <w:szCs w:val="20"/>
        </w:rPr>
        <w:t xml:space="preserve"> объектов теплоснабжения.</w:t>
      </w:r>
    </w:p>
    <w:p w:rsidR="00C75325" w:rsidRPr="006529DB" w:rsidRDefault="00C75325" w:rsidP="00C75325">
      <w:pPr>
        <w:pStyle w:val="a5"/>
      </w:pPr>
    </w:p>
  </w:footnote>
  <w:footnote w:id="2">
    <w:p w:rsidR="00C75325" w:rsidRPr="00276DA6" w:rsidRDefault="00C75325" w:rsidP="00C753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76DA6">
        <w:rPr>
          <w:rStyle w:val="a7"/>
          <w:rFonts w:ascii="Times New Roman" w:hAnsi="Times New Roman"/>
          <w:sz w:val="20"/>
          <w:szCs w:val="20"/>
        </w:rPr>
        <w:footnoteRef/>
      </w:r>
      <w:r w:rsidRPr="00276DA6">
        <w:rPr>
          <w:rFonts w:ascii="Times New Roman" w:hAnsi="Times New Roman"/>
          <w:sz w:val="20"/>
          <w:szCs w:val="20"/>
        </w:rPr>
        <w:t xml:space="preserve"> Рынок </w:t>
      </w:r>
      <w:r w:rsidRPr="00276DA6">
        <w:rPr>
          <w:rFonts w:ascii="Times New Roman" w:hAnsi="Times New Roman"/>
          <w:bCs/>
          <w:sz w:val="20"/>
          <w:szCs w:val="20"/>
        </w:rPr>
        <w:t>розничной торговли.</w:t>
      </w:r>
    </w:p>
    <w:p w:rsidR="00C75325" w:rsidRPr="00276DA6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76DA6">
        <w:rPr>
          <w:rFonts w:ascii="Times New Roman" w:hAnsi="Times New Roman"/>
          <w:sz w:val="20"/>
          <w:szCs w:val="20"/>
        </w:rPr>
        <w:t xml:space="preserve">На территории Суровикинского района сформирована достаточно крупная инфраструктура  потребительского рынка, насчитывающая более четырехсот объектов. </w:t>
      </w:r>
    </w:p>
    <w:p w:rsidR="00C75325" w:rsidRPr="00276DA6" w:rsidRDefault="00C75325" w:rsidP="00C7532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76DA6">
        <w:rPr>
          <w:rFonts w:ascii="Times New Roman" w:hAnsi="Times New Roman"/>
          <w:sz w:val="20"/>
          <w:szCs w:val="20"/>
          <w:lang w:eastAsia="ru-RU"/>
        </w:rPr>
        <w:t xml:space="preserve">Сфера торговли  представлена 280 торговыми объектами различной ведомственной принадлежности и организационно-правовой формы. </w:t>
      </w:r>
      <w:r w:rsidRPr="00276DA6">
        <w:rPr>
          <w:rFonts w:ascii="Times New Roman" w:hAnsi="Times New Roman"/>
          <w:sz w:val="20"/>
          <w:szCs w:val="20"/>
        </w:rPr>
        <w:t>На территории района функционирует 1 сельскохозяйственный рынок (МКР -1)  на 135 торговых мест, из них – 49 крытых мест. Организовано 7 постоянно действующих  ярмарок на 250 торговых мест, 4 ярмарки осуществляют деятельность на территории городского поселения г</w:t>
      </w:r>
      <w:proofErr w:type="gramStart"/>
      <w:r w:rsidRPr="00276DA6">
        <w:rPr>
          <w:rFonts w:ascii="Times New Roman" w:hAnsi="Times New Roman"/>
          <w:sz w:val="20"/>
          <w:szCs w:val="20"/>
        </w:rPr>
        <w:t>.С</w:t>
      </w:r>
      <w:proofErr w:type="gramEnd"/>
      <w:r w:rsidRPr="00276DA6">
        <w:rPr>
          <w:rFonts w:ascii="Times New Roman" w:hAnsi="Times New Roman"/>
          <w:sz w:val="20"/>
          <w:szCs w:val="20"/>
        </w:rPr>
        <w:t>уровикино, 3 – на территории сельских поселений района (</w:t>
      </w:r>
      <w:proofErr w:type="spellStart"/>
      <w:r w:rsidRPr="00276DA6">
        <w:rPr>
          <w:rFonts w:ascii="Times New Roman" w:hAnsi="Times New Roman"/>
          <w:sz w:val="20"/>
          <w:szCs w:val="20"/>
        </w:rPr>
        <w:t>Сысоевское</w:t>
      </w:r>
      <w:proofErr w:type="spellEnd"/>
      <w:r w:rsidRPr="00276DA6">
        <w:rPr>
          <w:rFonts w:ascii="Times New Roman" w:hAnsi="Times New Roman"/>
          <w:sz w:val="20"/>
          <w:szCs w:val="20"/>
        </w:rPr>
        <w:t xml:space="preserve"> сельское поселение, </w:t>
      </w:r>
      <w:proofErr w:type="spellStart"/>
      <w:r w:rsidRPr="00276DA6">
        <w:rPr>
          <w:rFonts w:ascii="Times New Roman" w:hAnsi="Times New Roman"/>
          <w:sz w:val="20"/>
          <w:szCs w:val="20"/>
        </w:rPr>
        <w:t>Нижнечирское</w:t>
      </w:r>
      <w:proofErr w:type="spellEnd"/>
      <w:r w:rsidRPr="00276DA6">
        <w:rPr>
          <w:rFonts w:ascii="Times New Roman" w:hAnsi="Times New Roman"/>
          <w:sz w:val="20"/>
          <w:szCs w:val="20"/>
        </w:rPr>
        <w:t xml:space="preserve"> сельское поселение, </w:t>
      </w:r>
      <w:proofErr w:type="spellStart"/>
      <w:r w:rsidRPr="00276DA6">
        <w:rPr>
          <w:rFonts w:ascii="Times New Roman" w:hAnsi="Times New Roman"/>
          <w:sz w:val="20"/>
          <w:szCs w:val="20"/>
        </w:rPr>
        <w:t>Новомаксимовское</w:t>
      </w:r>
      <w:proofErr w:type="spellEnd"/>
      <w:r w:rsidRPr="00276DA6">
        <w:rPr>
          <w:rFonts w:ascii="Times New Roman" w:hAnsi="Times New Roman"/>
          <w:sz w:val="20"/>
          <w:szCs w:val="20"/>
        </w:rPr>
        <w:t xml:space="preserve"> сельское поселение).</w:t>
      </w:r>
    </w:p>
    <w:p w:rsidR="00C75325" w:rsidRPr="00F928B9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276DA6">
        <w:rPr>
          <w:rFonts w:ascii="Times New Roman" w:hAnsi="Times New Roman"/>
          <w:sz w:val="20"/>
          <w:szCs w:val="20"/>
        </w:rPr>
        <w:t xml:space="preserve">Фактическая обеспеченность торговыми площадями населения района составляет 380,3 кв.м. на 1000 человек, при нормативе минимальной обеспеченности населения площадью торговых объектов 364,5 кв.м.  За 2018 г. </w:t>
      </w:r>
      <w:r w:rsidRPr="00276DA6">
        <w:rPr>
          <w:rFonts w:ascii="Times New Roman" w:hAnsi="Times New Roman"/>
          <w:sz w:val="20"/>
          <w:szCs w:val="20"/>
          <w:lang w:eastAsia="ru-RU"/>
        </w:rPr>
        <w:t>оборот  розничной торговли по предварительным расчетам составил 2047567</w:t>
      </w:r>
      <w:r w:rsidRPr="00276DA6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тыс. руб., что больше на 101 % чем в 2017 г. </w:t>
      </w:r>
      <w:r w:rsidRPr="00276DA6">
        <w:rPr>
          <w:rFonts w:ascii="Times New Roman" w:hAnsi="Times New Roman"/>
          <w:sz w:val="20"/>
          <w:szCs w:val="20"/>
        </w:rPr>
        <w:t>Оборот розничной торговли в расчете на душу населения в 2017 г. составил 57 тыс. рублей</w:t>
      </w:r>
      <w:proofErr w:type="gramEnd"/>
      <w:r w:rsidRPr="00276DA6">
        <w:rPr>
          <w:rFonts w:ascii="Times New Roman" w:hAnsi="Times New Roman"/>
          <w:sz w:val="20"/>
          <w:szCs w:val="20"/>
        </w:rPr>
        <w:t>, а в 2018 г. по предварительной оценке данный показатель составит 61 тыс. руб. Рост составит примерно 7 %.</w:t>
      </w:r>
    </w:p>
    <w:p w:rsidR="00C75325" w:rsidRDefault="00C75325" w:rsidP="00C75325">
      <w:pPr>
        <w:spacing w:after="0" w:line="240" w:lineRule="auto"/>
        <w:ind w:firstLine="709"/>
        <w:jc w:val="both"/>
      </w:pPr>
    </w:p>
  </w:footnote>
  <w:footnote w:id="3">
    <w:p w:rsidR="00C75325" w:rsidRDefault="00C75325" w:rsidP="00C75325">
      <w:pPr>
        <w:pStyle w:val="a5"/>
        <w:spacing w:after="0" w:line="240" w:lineRule="auto"/>
        <w:ind w:firstLine="567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Рынок</w:t>
      </w:r>
      <w:r w:rsidRPr="00A176E8">
        <w:rPr>
          <w:rFonts w:ascii="Times New Roman" w:hAnsi="Times New Roman"/>
        </w:rPr>
        <w:t xml:space="preserve"> услуг перевозок пассажиров</w:t>
      </w:r>
      <w:r>
        <w:rPr>
          <w:rFonts w:ascii="Times New Roman" w:hAnsi="Times New Roman"/>
        </w:rPr>
        <w:t>.</w:t>
      </w:r>
    </w:p>
    <w:p w:rsidR="00C75325" w:rsidRPr="00753C6B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Согласно Федеральному закону</w:t>
      </w:r>
      <w:r w:rsidRPr="00753C6B">
        <w:rPr>
          <w:rFonts w:ascii="Times New Roman" w:hAnsi="Times New Roman"/>
          <w:sz w:val="20"/>
          <w:szCs w:val="20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городского поселения г. Суровикино осуществляет организацию регулярных перевозок по регулируемым и нерегулируемым тарифам в границах городского поселения г. Суровикино.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753C6B">
        <w:rPr>
          <w:rFonts w:ascii="Times New Roman" w:hAnsi="Times New Roman"/>
          <w:sz w:val="20"/>
          <w:szCs w:val="20"/>
        </w:rPr>
        <w:t xml:space="preserve">Для  сообщения между городом и сельскими поселениями  действуют 7 </w:t>
      </w:r>
      <w:proofErr w:type="spellStart"/>
      <w:r w:rsidRPr="00753C6B">
        <w:rPr>
          <w:rFonts w:ascii="Times New Roman" w:hAnsi="Times New Roman"/>
          <w:sz w:val="20"/>
          <w:szCs w:val="20"/>
        </w:rPr>
        <w:t>внутримуниципальных</w:t>
      </w:r>
      <w:proofErr w:type="spellEnd"/>
      <w:r w:rsidRPr="00753C6B">
        <w:rPr>
          <w:rFonts w:ascii="Times New Roman" w:hAnsi="Times New Roman"/>
          <w:sz w:val="20"/>
          <w:szCs w:val="20"/>
        </w:rPr>
        <w:t xml:space="preserve"> автобусных маршрутов. Перевозку пассажиров осуществляет МУП «Городское хозяйство» </w:t>
      </w:r>
      <w:proofErr w:type="gramStart"/>
      <w:r w:rsidRPr="00753C6B">
        <w:rPr>
          <w:rFonts w:ascii="Times New Roman" w:hAnsi="Times New Roman"/>
          <w:sz w:val="20"/>
          <w:szCs w:val="20"/>
        </w:rPr>
        <w:t>и ООО</w:t>
      </w:r>
      <w:proofErr w:type="gramEnd"/>
      <w:r w:rsidRPr="00753C6B">
        <w:rPr>
          <w:rFonts w:ascii="Times New Roman" w:hAnsi="Times New Roman"/>
          <w:sz w:val="20"/>
          <w:szCs w:val="20"/>
        </w:rPr>
        <w:t xml:space="preserve"> «Василёк». В границах городского поселения г</w:t>
      </w:r>
      <w:proofErr w:type="gramStart"/>
      <w:r w:rsidRPr="00753C6B">
        <w:rPr>
          <w:rFonts w:ascii="Times New Roman" w:hAnsi="Times New Roman"/>
          <w:sz w:val="20"/>
          <w:szCs w:val="20"/>
        </w:rPr>
        <w:t>.С</w:t>
      </w:r>
      <w:proofErr w:type="gramEnd"/>
      <w:r w:rsidRPr="00753C6B">
        <w:rPr>
          <w:rFonts w:ascii="Times New Roman" w:hAnsi="Times New Roman"/>
          <w:sz w:val="20"/>
          <w:szCs w:val="20"/>
        </w:rPr>
        <w:t>уровикино установлено 5 муниципальных маршрутов регулярных перевозок пассажиров автомобильным транспортом  городского сообщения:</w:t>
      </w:r>
      <w:r w:rsidRPr="00753C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53C6B">
        <w:rPr>
          <w:rFonts w:ascii="Times New Roman" w:hAnsi="Times New Roman"/>
          <w:sz w:val="20"/>
          <w:szCs w:val="20"/>
        </w:rPr>
        <w:t xml:space="preserve">4 маршрута обслуживает  ООО «Василёк», 1 маршрут - ИП Михайлушкин А.В. </w:t>
      </w:r>
    </w:p>
    <w:p w:rsidR="00C75325" w:rsidRPr="00753C6B" w:rsidRDefault="00C75325" w:rsidP="00C75325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53C6B">
        <w:rPr>
          <w:rFonts w:ascii="Times New Roman" w:hAnsi="Times New Roman"/>
          <w:sz w:val="20"/>
          <w:szCs w:val="20"/>
        </w:rPr>
        <w:t xml:space="preserve">Перевозку пассажиров автомобильным транспортом, включая такси и перевозку пассажиров по заказу, осуществляют 20 организаций. </w:t>
      </w:r>
    </w:p>
    <w:p w:rsidR="00C75325" w:rsidRPr="00A176E8" w:rsidRDefault="00C75325" w:rsidP="00C75325">
      <w:pPr>
        <w:pStyle w:val="a5"/>
        <w:ind w:firstLine="709"/>
        <w:rPr>
          <w:rFonts w:ascii="Times New Roman" w:hAnsi="Times New Roman"/>
        </w:rPr>
      </w:pPr>
    </w:p>
  </w:footnote>
  <w:footnote w:id="4">
    <w:p w:rsidR="00C75325" w:rsidRDefault="00C75325" w:rsidP="00C7532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Рынок</w:t>
      </w:r>
      <w:r w:rsidRPr="00A176E8">
        <w:rPr>
          <w:rFonts w:ascii="Times New Roman" w:hAnsi="Times New Roman"/>
        </w:rPr>
        <w:t xml:space="preserve"> услуг </w:t>
      </w:r>
      <w:r>
        <w:rPr>
          <w:rFonts w:ascii="Times New Roman" w:hAnsi="Times New Roman"/>
        </w:rPr>
        <w:t>связи.</w:t>
      </w:r>
    </w:p>
    <w:p w:rsidR="00C75325" w:rsidRPr="00396AC4" w:rsidRDefault="00C75325" w:rsidP="00C75325">
      <w:pPr>
        <w:pStyle w:val="ConsPlusNormal"/>
        <w:ind w:firstLine="567"/>
        <w:jc w:val="both"/>
        <w:rPr>
          <w:rFonts w:ascii="Times New Roman" w:hAnsi="Times New Roman"/>
        </w:rPr>
      </w:pPr>
      <w:r w:rsidRPr="00396AC4">
        <w:rPr>
          <w:rFonts w:ascii="Times New Roman" w:eastAsia="Calibri" w:hAnsi="Times New Roman"/>
        </w:rPr>
        <w:t>На территории Суровикинского муниципального района Волгоградской мобильный широкополосный доступ к сети «Интернет» осуществляется сотовыми операторами связи ПАО «</w:t>
      </w:r>
      <w:proofErr w:type="spellStart"/>
      <w:r w:rsidRPr="00396AC4">
        <w:rPr>
          <w:rFonts w:ascii="Times New Roman" w:eastAsia="Calibri" w:hAnsi="Times New Roman"/>
        </w:rPr>
        <w:t>МегаФон</w:t>
      </w:r>
      <w:proofErr w:type="spellEnd"/>
      <w:r w:rsidRPr="00396AC4">
        <w:rPr>
          <w:rFonts w:ascii="Times New Roman" w:eastAsia="Calibri" w:hAnsi="Times New Roman"/>
        </w:rPr>
        <w:t>», ПАО «</w:t>
      </w:r>
      <w:proofErr w:type="spellStart"/>
      <w:r w:rsidRPr="00396AC4">
        <w:rPr>
          <w:rFonts w:ascii="Times New Roman" w:eastAsia="Calibri" w:hAnsi="Times New Roman"/>
        </w:rPr>
        <w:t>ВымпелКом</w:t>
      </w:r>
      <w:proofErr w:type="spellEnd"/>
      <w:r w:rsidRPr="00396AC4">
        <w:rPr>
          <w:rFonts w:ascii="Times New Roman" w:eastAsia="Calibri" w:hAnsi="Times New Roman"/>
        </w:rPr>
        <w:t>», ООО «Т</w:t>
      </w:r>
      <w:proofErr w:type="gramStart"/>
      <w:r w:rsidRPr="00396AC4">
        <w:rPr>
          <w:rFonts w:ascii="Times New Roman" w:eastAsia="Calibri" w:hAnsi="Times New Roman"/>
        </w:rPr>
        <w:t>2</w:t>
      </w:r>
      <w:proofErr w:type="gramEnd"/>
      <w:r w:rsidRPr="00396AC4">
        <w:rPr>
          <w:rFonts w:ascii="Times New Roman" w:eastAsia="Calibri" w:hAnsi="Times New Roman"/>
        </w:rPr>
        <w:t xml:space="preserve"> </w:t>
      </w:r>
      <w:proofErr w:type="spellStart"/>
      <w:r w:rsidRPr="00396AC4">
        <w:rPr>
          <w:rFonts w:ascii="Times New Roman" w:eastAsia="Calibri" w:hAnsi="Times New Roman"/>
        </w:rPr>
        <w:t>Мобайл</w:t>
      </w:r>
      <w:proofErr w:type="spellEnd"/>
      <w:r w:rsidRPr="00396AC4">
        <w:rPr>
          <w:rFonts w:ascii="Times New Roman" w:eastAsia="Calibri" w:hAnsi="Times New Roman"/>
        </w:rPr>
        <w:t xml:space="preserve">», МАО «МТС». </w:t>
      </w:r>
      <w:r w:rsidRPr="00396AC4">
        <w:rPr>
          <w:rFonts w:ascii="Times New Roman" w:hAnsi="Times New Roman"/>
        </w:rPr>
        <w:t xml:space="preserve">В сельских поселениях сеть Интернет представлена следующими операторами: </w:t>
      </w:r>
      <w:proofErr w:type="spellStart"/>
      <w:r w:rsidRPr="00396AC4">
        <w:rPr>
          <w:rFonts w:ascii="Times New Roman" w:hAnsi="Times New Roman"/>
        </w:rPr>
        <w:t>Ростелеком</w:t>
      </w:r>
      <w:proofErr w:type="spellEnd"/>
      <w:r w:rsidRPr="00396AC4">
        <w:rPr>
          <w:rFonts w:ascii="Times New Roman" w:hAnsi="Times New Roman"/>
        </w:rPr>
        <w:t>;</w:t>
      </w:r>
      <w:r w:rsidRPr="00396AC4">
        <w:t xml:space="preserve"> </w:t>
      </w:r>
      <w:r w:rsidRPr="00396AC4">
        <w:rPr>
          <w:rFonts w:ascii="Times New Roman" w:hAnsi="Times New Roman"/>
        </w:rPr>
        <w:t xml:space="preserve">ВИСТ – </w:t>
      </w:r>
      <w:proofErr w:type="spellStart"/>
      <w:r w:rsidRPr="00396AC4">
        <w:rPr>
          <w:rFonts w:ascii="Times New Roman" w:hAnsi="Times New Roman"/>
        </w:rPr>
        <w:t>онлайн</w:t>
      </w:r>
      <w:proofErr w:type="spellEnd"/>
      <w:r w:rsidRPr="00396AC4">
        <w:rPr>
          <w:rFonts w:ascii="Times New Roman" w:hAnsi="Times New Roman"/>
        </w:rPr>
        <w:t>, ООО «</w:t>
      </w:r>
      <w:proofErr w:type="spellStart"/>
      <w:r w:rsidRPr="00396AC4">
        <w:rPr>
          <w:rFonts w:ascii="Times New Roman" w:hAnsi="Times New Roman"/>
        </w:rPr>
        <w:t>Биллиринговые</w:t>
      </w:r>
      <w:proofErr w:type="spellEnd"/>
      <w:r w:rsidRPr="00396AC4">
        <w:rPr>
          <w:rFonts w:ascii="Times New Roman" w:hAnsi="Times New Roman"/>
        </w:rPr>
        <w:t xml:space="preserve"> решения» - «Радуга - интернет», Теле 2, Мегафон, ООО «Информационный сервис», </w:t>
      </w:r>
      <w:proofErr w:type="spellStart"/>
      <w:r w:rsidRPr="00396AC4">
        <w:rPr>
          <w:rFonts w:ascii="Times New Roman" w:hAnsi="Times New Roman"/>
          <w:lang w:val="en-US"/>
        </w:rPr>
        <w:t>Yota</w:t>
      </w:r>
      <w:proofErr w:type="spellEnd"/>
      <w:r w:rsidRPr="00396AC4">
        <w:rPr>
          <w:rFonts w:ascii="Times New Roman" w:hAnsi="Times New Roman"/>
        </w:rPr>
        <w:t>, АО НПП «</w:t>
      </w:r>
      <w:proofErr w:type="spellStart"/>
      <w:r w:rsidRPr="00396AC4">
        <w:rPr>
          <w:rFonts w:ascii="Times New Roman" w:hAnsi="Times New Roman"/>
        </w:rPr>
        <w:t>Унико</w:t>
      </w:r>
      <w:proofErr w:type="spellEnd"/>
      <w:r w:rsidRPr="00396AC4">
        <w:rPr>
          <w:rFonts w:ascii="Times New Roman" w:hAnsi="Times New Roman"/>
        </w:rPr>
        <w:t xml:space="preserve">», </w:t>
      </w:r>
      <w:proofErr w:type="spellStart"/>
      <w:r w:rsidRPr="00396AC4">
        <w:rPr>
          <w:rFonts w:ascii="Times New Roman" w:hAnsi="Times New Roman"/>
        </w:rPr>
        <w:t>Билайн</w:t>
      </w:r>
      <w:proofErr w:type="spellEnd"/>
      <w:r w:rsidRPr="00396AC4">
        <w:rPr>
          <w:rFonts w:ascii="Times New Roman" w:hAnsi="Times New Roman"/>
        </w:rPr>
        <w:t>.</w:t>
      </w:r>
    </w:p>
    <w:p w:rsidR="00C75325" w:rsidRPr="009D1579" w:rsidRDefault="00C75325" w:rsidP="00C75325">
      <w:pPr>
        <w:pStyle w:val="a5"/>
        <w:rPr>
          <w:rFonts w:ascii="Times New Roman" w:hAnsi="Times New Roman"/>
        </w:rPr>
      </w:pPr>
    </w:p>
  </w:footnote>
  <w:footnote w:id="5">
    <w:p w:rsidR="00C75325" w:rsidRPr="007B5EE8" w:rsidRDefault="00C75325" w:rsidP="00C7532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 w:rsidRPr="00604C5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Рынок</w:t>
      </w:r>
      <w:r w:rsidRPr="007B5EE8">
        <w:rPr>
          <w:rFonts w:ascii="Times New Roman" w:hAnsi="Times New Roman"/>
          <w:sz w:val="20"/>
          <w:szCs w:val="20"/>
        </w:rPr>
        <w:t xml:space="preserve"> сельскохозяйственного производства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B5EE8">
        <w:rPr>
          <w:rFonts w:ascii="Times New Roman" w:hAnsi="Times New Roman"/>
          <w:sz w:val="20"/>
          <w:szCs w:val="20"/>
        </w:rPr>
        <w:t xml:space="preserve"> </w:t>
      </w:r>
    </w:p>
    <w:p w:rsidR="00C75325" w:rsidRPr="00C475B2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C475B2">
        <w:rPr>
          <w:rFonts w:ascii="Times New Roman" w:hAnsi="Times New Roman"/>
          <w:sz w:val="20"/>
          <w:szCs w:val="20"/>
        </w:rPr>
        <w:t>В сельском хозяйстве работают 14 коллективных хозяйств и более  120  индивидуальных предпринимателей (крестьянско-фермерских хозяйств).</w:t>
      </w:r>
    </w:p>
    <w:p w:rsidR="00C75325" w:rsidRPr="00C475B2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C475B2">
        <w:rPr>
          <w:rFonts w:ascii="Times New Roman" w:hAnsi="Times New Roman"/>
          <w:sz w:val="20"/>
          <w:szCs w:val="20"/>
        </w:rPr>
        <w:t>В 2018 году посевная площадь зерновых и зернобобовых культур составила 89 тыс. га, в том числе озимые зерновые культуры – 62,9 тыс. га, масличные культуры размещены на общей площади 9,2 тыс. га, в  том числе подсолнечник – 1,5 тыс. га, сафлор – 2,6 тыс. га. Производство зерновых и зернобобовых культур в 2018 году составило 165,3 тыс. тонн.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75B2">
        <w:rPr>
          <w:rFonts w:ascii="Times New Roman" w:hAnsi="Times New Roman"/>
          <w:sz w:val="20"/>
          <w:szCs w:val="20"/>
        </w:rPr>
        <w:t>Более 40% валового продукта сельского хозяйства района производится в животноводстве. В 2018 году производство основных видов животноводческой продукции составило: скота и птицы на убой в хозяйствах всех категорий (в живом весе) – 6,0 тыс. тонн; молока – 25,0 тыс. тонн.</w:t>
      </w:r>
    </w:p>
    <w:p w:rsidR="00C75325" w:rsidRPr="00C475B2" w:rsidRDefault="00C75325" w:rsidP="00C75325">
      <w:pPr>
        <w:spacing w:after="0" w:line="240" w:lineRule="auto"/>
        <w:ind w:firstLine="675"/>
        <w:jc w:val="both"/>
        <w:rPr>
          <w:rFonts w:ascii="Times New Roman" w:hAnsi="Times New Roman"/>
          <w:sz w:val="20"/>
          <w:szCs w:val="20"/>
        </w:rPr>
      </w:pPr>
    </w:p>
    <w:p w:rsidR="00C75325" w:rsidRPr="00C475B2" w:rsidRDefault="00C75325" w:rsidP="00C75325">
      <w:pPr>
        <w:pStyle w:val="a5"/>
      </w:pPr>
    </w:p>
  </w:footnote>
  <w:footnote w:id="6">
    <w:p w:rsidR="00C75325" w:rsidRDefault="00C75325" w:rsidP="00C75325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Рынок</w:t>
      </w:r>
      <w:r w:rsidRPr="00C261BA">
        <w:rPr>
          <w:rFonts w:ascii="Times New Roman" w:hAnsi="Times New Roman"/>
          <w:sz w:val="20"/>
          <w:szCs w:val="20"/>
        </w:rPr>
        <w:t xml:space="preserve"> услуг физической культуры и спорта</w:t>
      </w:r>
      <w:r>
        <w:rPr>
          <w:rFonts w:ascii="Times New Roman" w:hAnsi="Times New Roman"/>
          <w:sz w:val="20"/>
          <w:szCs w:val="20"/>
        </w:rPr>
        <w:t>.</w:t>
      </w:r>
    </w:p>
    <w:p w:rsidR="00C75325" w:rsidRPr="00995DC1" w:rsidRDefault="00C75325" w:rsidP="00C75325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995DC1">
        <w:rPr>
          <w:rFonts w:ascii="Times New Roman" w:hAnsi="Times New Roman"/>
          <w:sz w:val="20"/>
          <w:szCs w:val="20"/>
        </w:rPr>
        <w:t>В районе работает 132 спортивные секции, в них занимается 2078</w:t>
      </w:r>
      <w:bookmarkStart w:id="0" w:name="_GoBack"/>
      <w:bookmarkEnd w:id="0"/>
      <w:r w:rsidRPr="00995DC1">
        <w:rPr>
          <w:rFonts w:ascii="Times New Roman" w:hAnsi="Times New Roman"/>
          <w:sz w:val="20"/>
          <w:szCs w:val="20"/>
        </w:rPr>
        <w:t xml:space="preserve"> человек.</w:t>
      </w:r>
      <w:r w:rsidRPr="00995DC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95DC1">
        <w:rPr>
          <w:rFonts w:ascii="Times New Roman" w:hAnsi="Times New Roman"/>
          <w:sz w:val="20"/>
          <w:szCs w:val="20"/>
        </w:rPr>
        <w:t>Всего систематически занимается физкультурой и спортом 35% населения района.</w:t>
      </w:r>
    </w:p>
    <w:p w:rsidR="00C75325" w:rsidRPr="00995DC1" w:rsidRDefault="00C75325" w:rsidP="00C7532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995DC1">
        <w:rPr>
          <w:rFonts w:ascii="Times New Roman" w:hAnsi="Times New Roman"/>
          <w:sz w:val="20"/>
          <w:szCs w:val="20"/>
        </w:rPr>
        <w:t>Для привлечения к занятиям физической культурой и спортом большего числа жителей необходимо решить кадровую проблему,  улучшить материально-техническую базу спортсооружений, в том числе для лиц с ограниченными возможностями.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5DC1">
        <w:rPr>
          <w:rFonts w:ascii="Times New Roman" w:hAnsi="Times New Roman"/>
          <w:sz w:val="20"/>
          <w:szCs w:val="20"/>
        </w:rPr>
        <w:t>В районе работают ВРОО «</w:t>
      </w:r>
      <w:proofErr w:type="spellStart"/>
      <w:proofErr w:type="gramStart"/>
      <w:r w:rsidRPr="00995DC1">
        <w:rPr>
          <w:rFonts w:ascii="Times New Roman" w:hAnsi="Times New Roman"/>
          <w:sz w:val="20"/>
          <w:szCs w:val="20"/>
        </w:rPr>
        <w:t>Конно-спортивный</w:t>
      </w:r>
      <w:proofErr w:type="spellEnd"/>
      <w:proofErr w:type="gramEnd"/>
      <w:r w:rsidRPr="00995DC1">
        <w:rPr>
          <w:rFonts w:ascii="Times New Roman" w:hAnsi="Times New Roman"/>
          <w:sz w:val="20"/>
          <w:szCs w:val="20"/>
        </w:rPr>
        <w:t xml:space="preserve"> клуб им. генерала Бакланова Я.П.» и спортивный клуб «Медведь».</w:t>
      </w:r>
    </w:p>
    <w:p w:rsidR="00C75325" w:rsidRDefault="00C75325" w:rsidP="00C75325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6479"/>
      <w:docPartObj>
        <w:docPartGallery w:val="Page Numbers (Top of Page)"/>
        <w:docPartUnique/>
      </w:docPartObj>
    </w:sdtPr>
    <w:sdtContent>
      <w:p w:rsidR="00CE554C" w:rsidRDefault="00CE554C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CE554C" w:rsidRDefault="00CE55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325"/>
    <w:rsid w:val="000159C4"/>
    <w:rsid w:val="0001769B"/>
    <w:rsid w:val="0006583F"/>
    <w:rsid w:val="000944D1"/>
    <w:rsid w:val="000A3598"/>
    <w:rsid w:val="000A62CB"/>
    <w:rsid w:val="000F4022"/>
    <w:rsid w:val="00125789"/>
    <w:rsid w:val="00131CB6"/>
    <w:rsid w:val="0015551E"/>
    <w:rsid w:val="00156838"/>
    <w:rsid w:val="00166BC4"/>
    <w:rsid w:val="00170173"/>
    <w:rsid w:val="00185809"/>
    <w:rsid w:val="0018619D"/>
    <w:rsid w:val="001960BF"/>
    <w:rsid w:val="001C4802"/>
    <w:rsid w:val="00252995"/>
    <w:rsid w:val="00276DA6"/>
    <w:rsid w:val="00280EF2"/>
    <w:rsid w:val="002974AD"/>
    <w:rsid w:val="002B3713"/>
    <w:rsid w:val="002F274E"/>
    <w:rsid w:val="0031583C"/>
    <w:rsid w:val="00394C37"/>
    <w:rsid w:val="003A566E"/>
    <w:rsid w:val="003B3DFD"/>
    <w:rsid w:val="003C1EC0"/>
    <w:rsid w:val="003C3E3D"/>
    <w:rsid w:val="003D314C"/>
    <w:rsid w:val="004130BB"/>
    <w:rsid w:val="0041481D"/>
    <w:rsid w:val="00416C4D"/>
    <w:rsid w:val="004342F6"/>
    <w:rsid w:val="004654AA"/>
    <w:rsid w:val="004E50AC"/>
    <w:rsid w:val="004F4C62"/>
    <w:rsid w:val="005009E5"/>
    <w:rsid w:val="00501AE3"/>
    <w:rsid w:val="00505FEC"/>
    <w:rsid w:val="00522A16"/>
    <w:rsid w:val="005523D4"/>
    <w:rsid w:val="00557C28"/>
    <w:rsid w:val="00565BF6"/>
    <w:rsid w:val="00575F02"/>
    <w:rsid w:val="005C5FC3"/>
    <w:rsid w:val="005C66D4"/>
    <w:rsid w:val="005E4F21"/>
    <w:rsid w:val="00610CCA"/>
    <w:rsid w:val="006134BB"/>
    <w:rsid w:val="006273D8"/>
    <w:rsid w:val="00650802"/>
    <w:rsid w:val="00654D51"/>
    <w:rsid w:val="006A036F"/>
    <w:rsid w:val="006B27BF"/>
    <w:rsid w:val="006E00E7"/>
    <w:rsid w:val="006F55F7"/>
    <w:rsid w:val="0074791C"/>
    <w:rsid w:val="007B3C2E"/>
    <w:rsid w:val="00846EBC"/>
    <w:rsid w:val="00873CDB"/>
    <w:rsid w:val="008C489C"/>
    <w:rsid w:val="00904B59"/>
    <w:rsid w:val="00965E12"/>
    <w:rsid w:val="00986E7C"/>
    <w:rsid w:val="00A119CB"/>
    <w:rsid w:val="00A52A97"/>
    <w:rsid w:val="00A74D54"/>
    <w:rsid w:val="00AB63D5"/>
    <w:rsid w:val="00AB65EE"/>
    <w:rsid w:val="00B42D64"/>
    <w:rsid w:val="00B75230"/>
    <w:rsid w:val="00B9400C"/>
    <w:rsid w:val="00BC3AB9"/>
    <w:rsid w:val="00BC4922"/>
    <w:rsid w:val="00C34B1B"/>
    <w:rsid w:val="00C6052F"/>
    <w:rsid w:val="00C61E22"/>
    <w:rsid w:val="00C6470D"/>
    <w:rsid w:val="00C75325"/>
    <w:rsid w:val="00C77CF3"/>
    <w:rsid w:val="00CE04A6"/>
    <w:rsid w:val="00CE554C"/>
    <w:rsid w:val="00CF082B"/>
    <w:rsid w:val="00D12389"/>
    <w:rsid w:val="00D27B49"/>
    <w:rsid w:val="00D34AF9"/>
    <w:rsid w:val="00D46425"/>
    <w:rsid w:val="00D80F12"/>
    <w:rsid w:val="00DC3076"/>
    <w:rsid w:val="00DE7FD2"/>
    <w:rsid w:val="00E42E2B"/>
    <w:rsid w:val="00E80CD4"/>
    <w:rsid w:val="00E87783"/>
    <w:rsid w:val="00E978C3"/>
    <w:rsid w:val="00EC5F57"/>
    <w:rsid w:val="00F11AB5"/>
    <w:rsid w:val="00F15C7D"/>
    <w:rsid w:val="00F329E7"/>
    <w:rsid w:val="00F60068"/>
    <w:rsid w:val="00F86A65"/>
    <w:rsid w:val="00FA036C"/>
    <w:rsid w:val="00FE3544"/>
    <w:rsid w:val="00FF2837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semiHidden/>
    <w:rsid w:val="00C75325"/>
    <w:rPr>
      <w:color w:val="0000FF"/>
      <w:u w:val="single"/>
    </w:rPr>
  </w:style>
  <w:style w:type="paragraph" w:styleId="a4">
    <w:name w:val="No Spacing"/>
    <w:uiPriority w:val="1"/>
    <w:qFormat/>
    <w:rsid w:val="00C7532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rsid w:val="00C7532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7532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rsid w:val="00C75325"/>
    <w:rPr>
      <w:vertAlign w:val="superscript"/>
    </w:rPr>
  </w:style>
  <w:style w:type="paragraph" w:customStyle="1" w:styleId="Default">
    <w:name w:val="Default"/>
    <w:rsid w:val="00C753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54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E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55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42D151DF6FBDE0E0D0A8551F13A2A3679CD189648A8D6AECC662E8FDAE95553E4C3618E394FE54ACBF46C6E74E56544F509F023FF88CBEM50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42D151DF6FBDE0E0D0A8551F13A2A3679CD189648A8D6AECC662E8FDAE95553E4C3618E394FC51A8BF46C6E74E56544F509F023FF88CBEM506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93</cp:revision>
  <dcterms:created xsi:type="dcterms:W3CDTF">2019-09-09T12:51:00Z</dcterms:created>
  <dcterms:modified xsi:type="dcterms:W3CDTF">2020-08-06T07:14:00Z</dcterms:modified>
</cp:coreProperties>
</file>